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both"/>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both"/>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2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HIST 1301 United States History I</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2959100</wp:posOffset>
                </wp:positionH>
                <wp:positionV relativeFrom="paragraph">
                  <wp:posOffset>-220979</wp:posOffset>
                </wp:positionV>
                <wp:extent cx="3821734" cy="636795"/>
                <wp:effectExtent b="0" l="0" r="0" t="0"/>
                <wp:wrapNone/>
                <wp:docPr id="218" name=""/>
                <a:graphic>
                  <a:graphicData uri="http://schemas.microsoft.com/office/word/2010/wordprocessingShape">
                    <wps:wsp>
                      <wps:cNvSpPr/>
                      <wps:cNvPr id="2" name="Shape 2"/>
                      <wps:spPr>
                        <a:xfrm>
                          <a:off x="3439896" y="3466365"/>
                          <a:ext cx="3812209" cy="6272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2959100</wp:posOffset>
                </wp:positionH>
                <wp:positionV relativeFrom="paragraph">
                  <wp:posOffset>-220979</wp:posOffset>
                </wp:positionV>
                <wp:extent cx="3821734" cy="636795"/>
                <wp:effectExtent b="0" l="0" r="0" t="0"/>
                <wp:wrapNone/>
                <wp:docPr id="2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821734" cy="63679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22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spacing w:before="89" w:lineRule="auto"/>
        <w:ind w:right="540"/>
        <w:jc w:val="both"/>
        <w:rPr>
          <w:sz w:val="24"/>
          <w:szCs w:val="24"/>
        </w:rPr>
      </w:pPr>
      <w:r w:rsidDel="00000000" w:rsidR="00000000" w:rsidRPr="00000000">
        <w:rPr>
          <w:rtl w:val="0"/>
        </w:rPr>
      </w:r>
    </w:p>
    <w:p w:rsidR="00000000" w:rsidDel="00000000" w:rsidP="00000000" w:rsidRDefault="00000000" w:rsidRPr="00000000" w14:paraId="00000008">
      <w:pPr>
        <w:spacing w:before="89" w:lineRule="auto"/>
        <w:ind w:left="90" w:right="540" w:firstLine="0"/>
        <w:jc w:val="both"/>
        <w:rPr/>
      </w:pPr>
      <w:r w:rsidDel="00000000" w:rsidR="00000000" w:rsidRPr="00000000">
        <w:rPr>
          <w:rtl w:val="0"/>
        </w:rPr>
        <w:t xml:space="preserve">See the Blackboard Course shell for instructor information.</w:t>
      </w:r>
    </w:p>
    <w:p w:rsidR="00000000" w:rsidDel="00000000" w:rsidP="00000000" w:rsidRDefault="00000000" w:rsidRPr="00000000" w14:paraId="00000009">
      <w:pPr>
        <w:spacing w:before="89" w:lineRule="auto"/>
        <w:ind w:left="90" w:right="360" w:firstLine="0"/>
        <w:jc w:val="both"/>
        <w:rPr>
          <w:i w:val="1"/>
        </w:rPr>
      </w:pPr>
      <w:r w:rsidDel="00000000" w:rsidR="00000000" w:rsidRPr="00000000">
        <w:rPr>
          <w:i w:val="1"/>
          <w:rtl w:val="0"/>
        </w:rPr>
        <w:t xml:space="preserve">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rsidR="00000000" w:rsidDel="00000000" w:rsidP="00000000" w:rsidRDefault="00000000" w:rsidRPr="00000000" w14:paraId="0000000A">
      <w:pPr>
        <w:ind w:right="396"/>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 era. Themes that may be addressed in United States History I include: American settlement and diversity, American culture, religion, civil and human rights, technological change, economic change, immigration and migration, and creation of the federal government.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f243e"/>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line="281" w:lineRule="auto"/>
        <w:ind w:right="450" w:firstLine="1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Learning Outcomes: </w:t>
      </w:r>
    </w:p>
    <w:p w:rsidR="00000000" w:rsidDel="00000000" w:rsidP="00000000" w:rsidRDefault="00000000" w:rsidRPr="00000000" w14:paraId="00000010">
      <w:pPr>
        <w:pStyle w:val="Heading1"/>
        <w:numPr>
          <w:ilvl w:val="0"/>
          <w:numId w:val="1"/>
        </w:numPr>
        <w:spacing w:line="281" w:lineRule="auto"/>
        <w:ind w:left="820" w:right="45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Create an argument through the use of historical evidence.</w:t>
      </w:r>
    </w:p>
    <w:p w:rsidR="00000000" w:rsidDel="00000000" w:rsidP="00000000" w:rsidRDefault="00000000" w:rsidRPr="00000000" w14:paraId="00000011">
      <w:pPr>
        <w:pStyle w:val="Heading1"/>
        <w:numPr>
          <w:ilvl w:val="0"/>
          <w:numId w:val="1"/>
        </w:numPr>
        <w:spacing w:line="281" w:lineRule="auto"/>
        <w:ind w:left="820" w:right="45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Analyze and interpret primary and secondary sources. </w:t>
      </w:r>
    </w:p>
    <w:p w:rsidR="00000000" w:rsidDel="00000000" w:rsidP="00000000" w:rsidRDefault="00000000" w:rsidRPr="00000000" w14:paraId="00000012">
      <w:pPr>
        <w:pStyle w:val="Heading1"/>
        <w:numPr>
          <w:ilvl w:val="0"/>
          <w:numId w:val="1"/>
        </w:numPr>
        <w:spacing w:line="281" w:lineRule="auto"/>
        <w:ind w:left="820" w:right="45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Analyze the effects of historical, social, political, economic, cultural, and global forces on this period of United States history.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Evaluation/Grading Policy: </w:t>
      </w:r>
    </w:p>
    <w:p w:rsidR="00000000" w:rsidDel="00000000" w:rsidP="00000000" w:rsidRDefault="00000000" w:rsidRPr="00000000" w14:paraId="00000015">
      <w:pPr>
        <w:pStyle w:val="Heading1"/>
        <w:ind w:firstLine="10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Style w:val="Heading1"/>
        <w:ind w:firstLine="44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30%</w:t>
        <w:tab/>
        <w:t xml:space="preserve">History Research Project</w:t>
        <w:tab/>
        <w:tab/>
        <w:tab/>
      </w:r>
    </w:p>
    <w:p w:rsidR="00000000" w:rsidDel="00000000" w:rsidP="00000000" w:rsidRDefault="00000000" w:rsidRPr="00000000" w14:paraId="00000017">
      <w:pPr>
        <w:pStyle w:val="Heading1"/>
        <w:ind w:firstLine="44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30%</w:t>
        <w:tab/>
        <w:t xml:space="preserve">Connect Based Homework Activities</w:t>
        <w:tab/>
      </w:r>
    </w:p>
    <w:p w:rsidR="00000000" w:rsidDel="00000000" w:rsidP="00000000" w:rsidRDefault="00000000" w:rsidRPr="00000000" w14:paraId="00000018">
      <w:pPr>
        <w:pStyle w:val="Heading1"/>
        <w:ind w:firstLine="44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30%</w:t>
        <w:tab/>
        <w:t xml:space="preserve">Discussion Based Activity Assignment</w:t>
      </w:r>
    </w:p>
    <w:p w:rsidR="00000000" w:rsidDel="00000000" w:rsidP="00000000" w:rsidRDefault="00000000" w:rsidRPr="00000000" w14:paraId="00000019">
      <w:pPr>
        <w:rPr/>
      </w:pPr>
      <w:r w:rsidDel="00000000" w:rsidR="00000000" w:rsidRPr="00000000">
        <w:rPr>
          <w:rtl w:val="0"/>
        </w:rPr>
        <w:t xml:space="preserve">         10%</w:t>
        <w:tab/>
        <w:t xml:space="preserve">Final Exam</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3" w:hanging="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Numerical grading scale: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100%-90; B: 89-80; C: 79-70; D: 69-60; F: 59 or below</w:t>
      </w:r>
    </w:p>
    <w:p w:rsidR="00000000" w:rsidDel="00000000" w:rsidP="00000000" w:rsidRDefault="00000000" w:rsidRPr="00000000" w14:paraId="0000001C">
      <w:pPr>
        <w:pStyle w:val="Heading1"/>
        <w:ind w:firstLine="10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0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Instructional Materials: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Davidson, et 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Experience History: Interpreting America’s Past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CONNECT. McGraw/Hill Higher Education.  You have already paid for your textbook and course materials with your tuition and fees. You will access all course materials through this course.</w:t>
      </w:r>
    </w:p>
    <w:p w:rsidR="00000000" w:rsidDel="00000000" w:rsidP="00000000" w:rsidRDefault="00000000" w:rsidRPr="00000000" w14:paraId="0000001E">
      <w:pPr>
        <w:spacing w:before="1" w:lineRule="auto"/>
        <w:jc w:val="both"/>
        <w:rPr>
          <w:b w:val="1"/>
        </w:rPr>
      </w:pPr>
      <w:r w:rsidDel="00000000" w:rsidR="00000000" w:rsidRPr="00000000">
        <w:rPr>
          <w:rtl w:val="0"/>
        </w:rPr>
      </w:r>
    </w:p>
    <w:p w:rsidR="00000000" w:rsidDel="00000000" w:rsidP="00000000" w:rsidRDefault="00000000" w:rsidRPr="00000000" w14:paraId="0000001F">
      <w:pPr>
        <w:pStyle w:val="Heading1"/>
        <w:ind w:firstLine="100"/>
        <w:jc w:val="both"/>
        <w:rPr>
          <w:rFonts w:ascii="Calibri" w:cs="Calibri" w:eastAsia="Calibri" w:hAnsi="Calibri"/>
          <w:b w:val="0"/>
          <w:color w:val="ff0000"/>
          <w:sz w:val="22"/>
          <w:szCs w:val="22"/>
        </w:rPr>
      </w:pPr>
      <w:r w:rsidDel="00000000" w:rsidR="00000000" w:rsidRPr="00000000">
        <w:rPr>
          <w:rFonts w:ascii="Calibri" w:cs="Calibri" w:eastAsia="Calibri" w:hAnsi="Calibri"/>
          <w:sz w:val="22"/>
          <w:szCs w:val="22"/>
          <w:rtl w:val="0"/>
        </w:rPr>
        <w:t xml:space="preserve">Optional Instructional Materials: </w:t>
      </w:r>
      <w:r w:rsidDel="00000000" w:rsidR="00000000" w:rsidRPr="00000000">
        <w:rPr>
          <w:rFonts w:ascii="Calibri" w:cs="Calibri" w:eastAsia="Calibri" w:hAnsi="Calibri"/>
          <w:b w:val="0"/>
          <w:sz w:val="22"/>
          <w:szCs w:val="22"/>
          <w:rtl w:val="0"/>
        </w:rPr>
        <w:t xml:space="preserve">none</w:t>
      </w:r>
      <w:r w:rsidDel="00000000" w:rsidR="00000000" w:rsidRPr="00000000">
        <w:rPr>
          <w:rtl w:val="0"/>
        </w:rPr>
      </w:r>
    </w:p>
    <w:p w:rsidR="00000000" w:rsidDel="00000000" w:rsidP="00000000" w:rsidRDefault="00000000" w:rsidRPr="00000000" w14:paraId="00000020">
      <w:pPr>
        <w:pStyle w:val="Heading1"/>
        <w:ind w:firstLine="10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21">
      <w:pPr>
        <w:pStyle w:val="Heading1"/>
        <w:ind w:right="360" w:firstLine="100"/>
        <w:jc w:val="both"/>
        <w:rPr>
          <w:rFonts w:ascii="Calibri" w:cs="Calibri" w:eastAsia="Calibri" w:hAnsi="Calibri"/>
          <w:b w:val="0"/>
          <w:color w:val="ff0000"/>
          <w:sz w:val="22"/>
          <w:szCs w:val="22"/>
        </w:rPr>
      </w:pPr>
      <w:r w:rsidDel="00000000" w:rsidR="00000000" w:rsidRPr="00000000">
        <w:rPr>
          <w:rFonts w:ascii="Calibri" w:cs="Calibri" w:eastAsia="Calibri" w:hAnsi="Calibri"/>
          <w:sz w:val="22"/>
          <w:szCs w:val="22"/>
          <w:rtl w:val="0"/>
        </w:rPr>
        <w:t xml:space="preserve">Minimum Technology Requirements: </w:t>
      </w:r>
      <w:r w:rsidDel="00000000" w:rsidR="00000000" w:rsidRPr="00000000">
        <w:rPr>
          <w:rFonts w:ascii="Calibri" w:cs="Calibri" w:eastAsia="Calibri" w:hAnsi="Calibri"/>
          <w:b w:val="0"/>
          <w:sz w:val="22"/>
          <w:szCs w:val="22"/>
          <w:u w:val="single"/>
          <w:rtl w:val="0"/>
        </w:rPr>
        <w:t xml:space="preserve">You must have access to a computer to take this course</w:t>
      </w:r>
      <w:r w:rsidDel="00000000" w:rsidR="00000000" w:rsidRPr="00000000">
        <w:rPr>
          <w:rFonts w:ascii="Calibri" w:cs="Calibri" w:eastAsia="Calibri" w:hAnsi="Calibri"/>
          <w:b w:val="0"/>
          <w:sz w:val="22"/>
          <w:szCs w:val="22"/>
          <w:rtl w:val="0"/>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r w:rsidDel="00000000" w:rsidR="00000000" w:rsidRPr="00000000">
        <w:rPr>
          <w:rtl w:val="0"/>
        </w:rPr>
      </w:r>
    </w:p>
    <w:p w:rsidR="00000000" w:rsidDel="00000000" w:rsidP="00000000" w:rsidRDefault="00000000" w:rsidRPr="00000000" w14:paraId="00000022">
      <w:pPr>
        <w:spacing w:before="1" w:lineRule="auto"/>
        <w:ind w:right="36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6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Computer Literacy Skills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use Blackboard as well as Microsoft Office. Microsoft Office programs, including Word, are provided free to all enrolled students.</w:t>
      </w:r>
      <w:r w:rsidDel="00000000" w:rsidR="00000000" w:rsidRPr="00000000">
        <w:rPr>
          <w:rtl w:val="0"/>
        </w:rPr>
      </w:r>
    </w:p>
    <w:p w:rsidR="00000000" w:rsidDel="00000000" w:rsidP="00000000" w:rsidRDefault="00000000" w:rsidRPr="00000000" w14:paraId="00000024">
      <w:pPr>
        <w:pStyle w:val="Heading1"/>
        <w:spacing w:line="281" w:lineRule="auto"/>
        <w:ind w:left="0" w:righ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pStyle w:val="Heading1"/>
        <w:spacing w:line="281" w:lineRule="auto"/>
        <w:ind w:right="360" w:firstLine="100"/>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Communications: </w:t>
      </w:r>
      <w:r w:rsidDel="00000000" w:rsidR="00000000" w:rsidRPr="00000000">
        <w:rPr>
          <w:rFonts w:ascii="Calibri" w:cs="Calibri" w:eastAsia="Calibri" w:hAnsi="Calibri"/>
          <w:b w:val="0"/>
          <w:sz w:val="22"/>
          <w:szCs w:val="22"/>
          <w:rtl w:val="0"/>
        </w:rPr>
        <w:t xml:space="preserve">Blackboard messages or direct email serve as the best ways to communicate. *Reminder: NTCC email is the official form of communication used by the college. TEAMS is the only other official form of communication.</w:t>
      </w:r>
    </w:p>
    <w:p w:rsidR="00000000" w:rsidDel="00000000" w:rsidP="00000000" w:rsidRDefault="00000000" w:rsidRPr="00000000" w14:paraId="00000026">
      <w:pPr>
        <w:pStyle w:val="Heading1"/>
        <w:spacing w:line="281" w:lineRule="auto"/>
        <w:ind w:left="0" w:firstLine="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27">
      <w:pPr>
        <w:pStyle w:val="Heading1"/>
        <w:spacing w:line="274" w:lineRule="auto"/>
        <w:ind w:firstLine="100"/>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NTCC Academic Honesty/Ethics Statement:</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collusion, and the use of AI (artificial intelligence)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29">
      <w:pPr>
        <w:spacing w:before="5" w:lineRule="auto"/>
        <w:jc w:val="both"/>
        <w:rPr/>
      </w:pPr>
      <w:r w:rsidDel="00000000" w:rsidR="00000000" w:rsidRPr="00000000">
        <w:rPr>
          <w:rtl w:val="0"/>
        </w:rPr>
      </w:r>
    </w:p>
    <w:p w:rsidR="00000000" w:rsidDel="00000000" w:rsidP="00000000" w:rsidRDefault="00000000" w:rsidRPr="00000000" w14:paraId="0000002A">
      <w:pPr>
        <w:pStyle w:val="Heading1"/>
        <w:spacing w:line="274" w:lineRule="auto"/>
        <w:ind w:firstLine="100"/>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ADA Statement:</w:t>
      </w:r>
      <w:r w:rsidDel="00000000" w:rsidR="00000000" w:rsidRPr="00000000">
        <w:rPr>
          <w:rtl w:val="0"/>
        </w:rPr>
      </w:r>
    </w:p>
    <w:p w:rsidR="00000000" w:rsidDel="00000000" w:rsidP="00000000" w:rsidRDefault="00000000" w:rsidRPr="00000000" w14:paraId="0000002B">
      <w:pPr>
        <w:ind w:left="87" w:right="360" w:firstLine="0"/>
        <w:jc w:val="both"/>
        <w:rPr>
          <w:color w:val="000000"/>
        </w:rPr>
      </w:pPr>
      <w:r w:rsidDel="00000000" w:rsidR="00000000" w:rsidRPr="00000000">
        <w:rPr>
          <w:color w:val="000000"/>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w:t>
      </w:r>
    </w:p>
    <w:p w:rsidR="00000000" w:rsidDel="00000000" w:rsidP="00000000" w:rsidRDefault="00000000" w:rsidRPr="00000000" w14:paraId="0000002C">
      <w:pPr>
        <w:ind w:left="90" w:firstLine="0"/>
        <w:jc w:val="both"/>
        <w:rPr>
          <w:color w:val="000000"/>
        </w:rPr>
      </w:pPr>
      <w:r w:rsidDel="00000000" w:rsidR="00000000" w:rsidRPr="00000000">
        <w:rPr>
          <w:rtl w:val="0"/>
        </w:rPr>
      </w:r>
    </w:p>
    <w:p w:rsidR="00000000" w:rsidDel="00000000" w:rsidP="00000000" w:rsidRDefault="00000000" w:rsidRPr="00000000" w14:paraId="0000002D">
      <w:pPr>
        <w:pStyle w:val="Heading1"/>
        <w:ind w:firstLine="100"/>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Family Educational Rights and Privacy Act (FERPA)</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070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91rPAZXXIh/RgenT7OIJ7iCGLA==">CgMxLjA4AHIhMTN6QkhZak5ZclJTbUVQRzBQdFNTY2tpaDJ1cFZ4Yzhm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2023-05-31T22:01:00Z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