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A71585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w:t>
      </w:r>
      <w:r w:rsidR="00520483">
        <w:rPr>
          <w:rFonts w:ascii="Times New Roman" w:hAnsi="Times New Roman" w:cs="Times New Roman"/>
          <w:b/>
          <w:sz w:val="32"/>
        </w:rPr>
        <w:t>362</w:t>
      </w:r>
      <w:r w:rsidR="003A2A8F">
        <w:rPr>
          <w:rFonts w:ascii="Times New Roman" w:hAnsi="Times New Roman" w:cs="Times New Roman"/>
          <w:b/>
          <w:sz w:val="32"/>
        </w:rPr>
        <w:t>.001</w:t>
      </w:r>
      <w:r w:rsidR="003A2A8F" w:rsidRPr="003A2A8F">
        <w:rPr>
          <w:rFonts w:ascii="Times New Roman" w:hAnsi="Times New Roman" w:cs="Times New Roman"/>
          <w:b/>
          <w:sz w:val="32"/>
        </w:rPr>
        <w:t xml:space="preserve">-Clinical </w:t>
      </w:r>
      <w:r w:rsidR="00520483">
        <w:rPr>
          <w:rFonts w:ascii="Times New Roman" w:hAnsi="Times New Roman" w:cs="Times New Roman"/>
          <w:b/>
          <w:sz w:val="32"/>
        </w:rPr>
        <w:t>I</w:t>
      </w:r>
      <w:r w:rsidR="003A2A8F" w:rsidRPr="003A2A8F">
        <w:rPr>
          <w:rFonts w:ascii="Times New Roman" w:hAnsi="Times New Roman" w:cs="Times New Roman"/>
          <w:b/>
          <w:sz w:val="32"/>
        </w:rPr>
        <w:t>I for Med Lab Technology (Traditional)</w:t>
      </w:r>
    </w:p>
    <w:p w14:paraId="5B5254EE" w14:textId="0ADB4AB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w:t>
      </w:r>
      <w:r w:rsidR="00520483">
        <w:rPr>
          <w:rFonts w:ascii="Times New Roman" w:hAnsi="Times New Roman" w:cs="Times New Roman"/>
          <w:spacing w:val="-3"/>
          <w:sz w:val="24"/>
        </w:rPr>
        <w:t>ummer</w:t>
      </w:r>
      <w:r w:rsidR="003A2A8F" w:rsidRPr="003A2A8F">
        <w:rPr>
          <w:rFonts w:ascii="Times New Roman" w:hAnsi="Times New Roman" w:cs="Times New Roman"/>
          <w:spacing w:val="-3"/>
          <w:sz w:val="24"/>
        </w:rPr>
        <w:t xml:space="preserve"> 202</w:t>
      </w:r>
      <w:r w:rsidR="00941EB0">
        <w:rPr>
          <w:rFonts w:ascii="Times New Roman" w:hAnsi="Times New Roman" w:cs="Times New Roman"/>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36DC5CA4"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10</w:t>
      </w:r>
      <w:r w:rsidR="00941EB0">
        <w:rPr>
          <w:rFonts w:ascii="Times New Roman" w:hAnsi="Times New Roman" w:cs="Times New Roman"/>
          <w:spacing w:val="-6"/>
          <w:sz w:val="24"/>
        </w:rPr>
        <w:t>1</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9AEA44E" w14:textId="36322BEC" w:rsidR="003A2A8F" w:rsidRDefault="00734508" w:rsidP="003A2A8F">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9:00-12:00</w:t>
            </w:r>
          </w:p>
          <w:p w14:paraId="51549599" w14:textId="4DD72F63"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w:t>
            </w:r>
            <w:r w:rsidR="00734508">
              <w:rPr>
                <w:rFonts w:ascii="Times New Roman" w:eastAsia="Times New Roman" w:hAnsi="Times New Roman"/>
                <w:sz w:val="19"/>
                <w:szCs w:val="19"/>
                <w:lang w:bidi="en-US"/>
              </w:rPr>
              <w:t>0</w:t>
            </w:r>
            <w:r>
              <w:rPr>
                <w:rFonts w:ascii="Times New Roman" w:eastAsia="Times New Roman" w:hAnsi="Times New Roman"/>
                <w:sz w:val="19"/>
                <w:szCs w:val="19"/>
                <w:lang w:bidi="en-US"/>
              </w:rPr>
              <w:t>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7C2F5A7" w:rsidR="005C79AC" w:rsidRPr="002E21E3" w:rsidRDefault="007345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E0B366C" w:rsidR="005C79AC" w:rsidRPr="004565A6" w:rsidRDefault="00734508"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B19AC97"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34508" w:rsidRPr="00734508">
        <w:rPr>
          <w:rFonts w:cs="Times New Roman"/>
          <w:spacing w:val="11"/>
        </w:rPr>
        <w:t>3</w:t>
      </w:r>
      <w:r w:rsidR="00FF29A7" w:rsidRPr="00734508">
        <w:rPr>
          <w:rFonts w:cs="Times New Roman"/>
          <w:spacing w:val="11"/>
        </w:rPr>
        <w:t xml:space="preserve"> c</w:t>
      </w:r>
      <w:r w:rsidR="00FF29A7" w:rsidRPr="00FF29A7">
        <w:rPr>
          <w:rFonts w:cs="Times New Roman"/>
          <w:spacing w:val="11"/>
        </w:rPr>
        <w:t>redit hours.</w:t>
      </w:r>
      <w:r w:rsidR="00FF29A7">
        <w:rPr>
          <w:rFonts w:cs="Times New Roman"/>
          <w:spacing w:val="11"/>
        </w:rPr>
        <w:t xml:space="preserve"> </w:t>
      </w:r>
      <w:r w:rsidR="00FF29A7" w:rsidRPr="00FF29A7">
        <w:rPr>
          <w:rFonts w:cs="Times New Roman"/>
          <w:spacing w:val="11"/>
        </w:rPr>
        <w:t xml:space="preserve">Lecture/Lab/Clinical: </w:t>
      </w:r>
      <w:r w:rsidR="0081044C">
        <w:rPr>
          <w:rFonts w:cs="Times New Roman"/>
          <w:spacing w:val="11"/>
        </w:rPr>
        <w:t>Four to Six</w:t>
      </w:r>
      <w:r w:rsidR="00FF29A7" w:rsidRPr="00FF29A7">
        <w:rPr>
          <w:rFonts w:cs="Times New Roman"/>
          <w:spacing w:val="11"/>
        </w:rPr>
        <w:t xml:space="preserve"> weeks of </w:t>
      </w:r>
      <w:r w:rsidR="00734508">
        <w:rPr>
          <w:rFonts w:cs="Times New Roman"/>
          <w:spacing w:val="11"/>
        </w:rPr>
        <w:t>1</w:t>
      </w:r>
      <w:r w:rsidR="0081044C">
        <w:rPr>
          <w:rFonts w:cs="Times New Roman"/>
          <w:spacing w:val="11"/>
        </w:rPr>
        <w:t>28-192</w:t>
      </w:r>
      <w:r w:rsidR="00FF29A7" w:rsidRPr="00FF29A7">
        <w:rPr>
          <w:rFonts w:cs="Times New Roman"/>
          <w:spacing w:val="11"/>
        </w:rPr>
        <w:t xml:space="preserve"> contact hours in a clinical laboratory setting</w:t>
      </w:r>
      <w:r w:rsidR="00734508">
        <w:rPr>
          <w:rFonts w:cs="Times New Roman"/>
          <w:spacing w:val="11"/>
        </w:rPr>
        <w:t xml:space="preserve"> followed by </w:t>
      </w:r>
      <w:r w:rsidR="003E6F5C">
        <w:rPr>
          <w:rFonts w:cs="Times New Roman"/>
          <w:spacing w:val="11"/>
        </w:rPr>
        <w:t xml:space="preserve">student led </w:t>
      </w:r>
      <w:r w:rsidR="00734508">
        <w:rPr>
          <w:rFonts w:cs="Times New Roman"/>
          <w:spacing w:val="11"/>
        </w:rPr>
        <w:t>career development.</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331108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 xml:space="preserve">Admission to the clinical phase of the MLT program </w:t>
      </w:r>
      <w:r w:rsidR="00734508">
        <w:rPr>
          <w:rFonts w:cs="Times New Roman"/>
          <w:spacing w:val="11"/>
        </w:rPr>
        <w:t xml:space="preserve">and completion of MLAB 2461 </w:t>
      </w:r>
      <w:r w:rsidR="00FF29A7" w:rsidRPr="00FF29A7">
        <w:rPr>
          <w:rFonts w:cs="Times New Roman"/>
          <w:spacing w:val="11"/>
        </w:rPr>
        <w:t>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12FEF247" w:rsidR="00E53C66"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59A143F7" w14:textId="77777777" w:rsidR="003E6F5C" w:rsidRPr="00ED673A" w:rsidRDefault="003E6F5C" w:rsidP="00FC51FA">
      <w:pPr>
        <w:pStyle w:val="Heading1"/>
        <w:spacing w:line="281" w:lineRule="exact"/>
        <w:rPr>
          <w:rFonts w:ascii="Times New Roman" w:hAnsi="Times New Roman" w:cs="Times New Roman"/>
          <w:b w:val="0"/>
          <w:color w:val="2B2A2F"/>
        </w:rPr>
      </w:pP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7786A4F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lastRenderedPageBreak/>
        <w:t xml:space="preserve">Good laboratory practice requires psychomotor, affective and cognitive skills. The student will be evaluated in all three areas. Because the courses are primarily practical in nature, the psychomotor area will be weighted the heaviest for final grade determination.  However, students must pass each rotation area with at least a "C" average in order to satisfactorily complete the clinical </w:t>
      </w:r>
      <w:proofErr w:type="gramStart"/>
      <w:r w:rsidRPr="00ED673A">
        <w:rPr>
          <w:rFonts w:ascii="Times New Roman" w:hAnsi="Times New Roman" w:cs="Times New Roman"/>
          <w:b w:val="0"/>
          <w:bCs w:val="0"/>
        </w:rPr>
        <w:t>practicum .</w:t>
      </w:r>
      <w:proofErr w:type="gramEnd"/>
      <w:r w:rsidRPr="00ED673A">
        <w:rPr>
          <w:rFonts w:ascii="Times New Roman" w:hAnsi="Times New Roman" w:cs="Times New Roman"/>
          <w:b w:val="0"/>
          <w:bCs w:val="0"/>
        </w:rPr>
        <w:t xml:space="preserve"> Any written or practical exam in which the student earns a grade below 70% MUST be </w:t>
      </w:r>
      <w:proofErr w:type="gramStart"/>
      <w:r w:rsidRPr="00ED673A">
        <w:rPr>
          <w:rFonts w:ascii="Times New Roman" w:hAnsi="Times New Roman" w:cs="Times New Roman"/>
          <w:b w:val="0"/>
          <w:bCs w:val="0"/>
        </w:rPr>
        <w:t>remediated .</w:t>
      </w:r>
      <w:proofErr w:type="gramEnd"/>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CCA0A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must obtain the designated level of competency on the psychomotor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83BF8F1"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60%</w:t>
      </w:r>
    </w:p>
    <w:p w14:paraId="21B84639" w14:textId="1FCA0859"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39992D8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and a final. Exams will be based on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 xml:space="preserve"> assignments and administered by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w:t>
      </w:r>
      <w:r w:rsidRPr="0030550E">
        <w:rPr>
          <w:spacing w:val="-1"/>
        </w:rPr>
        <w:lastRenderedPageBreak/>
        <w:t xml:space="preserve">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7125C22C"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w:t>
      </w:r>
      <w:r w:rsidR="00D02744">
        <w:rPr>
          <w:rFonts w:ascii="Times New Roman" w:hAnsi="Times New Roman" w:cs="Times New Roman"/>
          <w:b w:val="0"/>
          <w:spacing w:val="-1"/>
        </w:rPr>
        <w:t>one</w:t>
      </w:r>
      <w:r w:rsidR="004C1405">
        <w:rPr>
          <w:rFonts w:ascii="Times New Roman" w:hAnsi="Times New Roman" w:cs="Times New Roman"/>
          <w:b w:val="0"/>
          <w:spacing w:val="-1"/>
        </w:rPr>
        <w:t xml:space="preserve"> rotation for the </w:t>
      </w:r>
      <w:r w:rsidR="00D02744">
        <w:rPr>
          <w:rFonts w:ascii="Times New Roman" w:hAnsi="Times New Roman" w:cs="Times New Roman"/>
          <w:b w:val="0"/>
          <w:spacing w:val="-1"/>
        </w:rPr>
        <w:t>Summer</w:t>
      </w:r>
      <w:r w:rsidR="004C1405">
        <w:rPr>
          <w:rFonts w:ascii="Times New Roman" w:hAnsi="Times New Roman" w:cs="Times New Roman"/>
          <w:b w:val="0"/>
          <w:spacing w:val="-1"/>
        </w:rPr>
        <w:t xml:space="preserve"> semester. </w:t>
      </w:r>
      <w:r w:rsidR="004C1405" w:rsidRPr="004C1405">
        <w:rPr>
          <w:rFonts w:ascii="Times New Roman" w:hAnsi="Times New Roman" w:cs="Times New Roman"/>
          <w:b w:val="0"/>
          <w:spacing w:val="-1"/>
        </w:rPr>
        <w:t>Th</w:t>
      </w:r>
      <w:r w:rsidR="00D02744">
        <w:rPr>
          <w:rFonts w:ascii="Times New Roman" w:hAnsi="Times New Roman" w:cs="Times New Roman"/>
          <w:b w:val="0"/>
          <w:spacing w:val="-1"/>
        </w:rPr>
        <w:t>is</w:t>
      </w:r>
      <w:r w:rsidR="004C1405" w:rsidRPr="004C1405">
        <w:rPr>
          <w:rFonts w:ascii="Times New Roman" w:hAnsi="Times New Roman" w:cs="Times New Roman"/>
          <w:b w:val="0"/>
          <w:spacing w:val="-1"/>
        </w:rPr>
        <w:t xml:space="preserve"> clinical rotation consist</w:t>
      </w:r>
      <w:r w:rsidR="00D02744">
        <w:rPr>
          <w:rFonts w:ascii="Times New Roman" w:hAnsi="Times New Roman" w:cs="Times New Roman"/>
          <w:b w:val="0"/>
          <w:spacing w:val="-1"/>
        </w:rPr>
        <w:t>s</w:t>
      </w:r>
      <w:r w:rsidR="004C1405" w:rsidRPr="004C1405">
        <w:rPr>
          <w:rFonts w:ascii="Times New Roman" w:hAnsi="Times New Roman" w:cs="Times New Roman"/>
          <w:b w:val="0"/>
          <w:spacing w:val="-1"/>
        </w:rPr>
        <w:t xml:space="preserve"> of a total of </w:t>
      </w:r>
      <w:r w:rsidR="0081044C">
        <w:rPr>
          <w:rFonts w:ascii="Times New Roman" w:hAnsi="Times New Roman" w:cs="Times New Roman"/>
          <w:b w:val="0"/>
          <w:spacing w:val="-1"/>
        </w:rPr>
        <w:t>128-192</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r w:rsidR="00B15C69">
        <w:rPr>
          <w:rFonts w:ascii="Times New Roman" w:hAnsi="Times New Roman" w:cs="Times New Roman"/>
          <w:b w:val="0"/>
          <w:spacing w:val="-1"/>
        </w:rPr>
        <w:t>I</w:t>
      </w:r>
      <w:r w:rsidR="004C1405" w:rsidRPr="004C1405">
        <w:rPr>
          <w:rFonts w:ascii="Times New Roman" w:hAnsi="Times New Roman" w:cs="Times New Roman"/>
          <w:b w:val="0"/>
          <w:spacing w:val="-1"/>
        </w:rPr>
        <w:t xml:space="preserve">mmunohematology - 5 weeks (160 hours), Clinical Chemistry - 4 weeks (128 hours). Phlebotomy may be performed </w:t>
      </w:r>
      <w:proofErr w:type="gramStart"/>
      <w:r w:rsidR="004C1405" w:rsidRPr="004C1405">
        <w:rPr>
          <w:rFonts w:ascii="Times New Roman" w:hAnsi="Times New Roman" w:cs="Times New Roman"/>
          <w:b w:val="0"/>
          <w:spacing w:val="-1"/>
        </w:rPr>
        <w:t>throughout  the</w:t>
      </w:r>
      <w:proofErr w:type="gramEnd"/>
      <w:r w:rsidR="004C1405" w:rsidRPr="004C1405">
        <w:rPr>
          <w:rFonts w:ascii="Times New Roman" w:hAnsi="Times New Roman" w:cs="Times New Roman"/>
          <w:b w:val="0"/>
          <w:spacing w:val="-1"/>
        </w:rPr>
        <w:t xml:space="preserve">  rotations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The clinical affiliate laboratories donate employee time, supplies and patient specimens to help educate 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13D2ACDA" w:rsidR="004C1405" w:rsidRDefault="004C1405" w:rsidP="004C1405">
      <w:pPr>
        <w:pStyle w:val="BodyText"/>
      </w:pPr>
      <w:r>
        <w:t xml:space="preserve">TEXT MESSAGE NOTIFICATIONS: You are required in this course to sign up for the text message notifications via Remind. I will use Remind to get information out to students quickly. This will enable you to receive important class announcements and reminders from me via text message so that you will not miss out on any assignment changes or important updates. </w:t>
      </w:r>
      <w:r>
        <w:rPr>
          <w:spacing w:val="-1"/>
        </w:rPr>
        <w:t>To be added to the Remind group text @</w:t>
      </w:r>
      <w:r w:rsidR="0075077A">
        <w:rPr>
          <w:spacing w:val="-1"/>
        </w:rPr>
        <w:t>kdb34h</w:t>
      </w:r>
      <w:bookmarkStart w:id="0" w:name="_GoBack"/>
      <w:bookmarkEnd w:id="0"/>
      <w:r>
        <w:rPr>
          <w:spacing w:val="-1"/>
        </w:rPr>
        <w:t xml:space="preserve"> to 81010.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proofErr w:type="gramStart"/>
      <w:r w:rsidRPr="00AF2C80">
        <w:rPr>
          <w:rFonts w:ascii="Times New Roman" w:hAnsi="Times New Roman" w:cs="Times New Roman"/>
          <w:b w:val="0"/>
          <w:spacing w:val="-1"/>
        </w:rPr>
        <w:t>30 minute</w:t>
      </w:r>
      <w:proofErr w:type="gramEnd"/>
      <w:r w:rsidRPr="00AF2C80">
        <w:rPr>
          <w:rFonts w:ascii="Times New Roman" w:hAnsi="Times New Roman" w:cs="Times New Roman"/>
          <w:b w:val="0"/>
          <w:spacing w:val="-1"/>
        </w:rPr>
        <w:t xml:space="preserve"> lunch break during the 8 hour rotation that will be arranged with the clinical instructor. Students are NOT permitted to work without a lunch break. The lunch break is in addition to the </w:t>
      </w:r>
      <w:proofErr w:type="gramStart"/>
      <w:r w:rsidRPr="00AF2C80">
        <w:rPr>
          <w:rFonts w:ascii="Times New Roman" w:hAnsi="Times New Roman" w:cs="Times New Roman"/>
          <w:b w:val="0"/>
          <w:spacing w:val="-1"/>
        </w:rPr>
        <w:t>8 hour</w:t>
      </w:r>
      <w:proofErr w:type="gramEnd"/>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w:t>
      </w:r>
      <w:r w:rsidRPr="00AF2C80">
        <w:rPr>
          <w:rFonts w:ascii="Times New Roman" w:hAnsi="Times New Roman" w:cs="Times New Roman"/>
          <w:b w:val="0"/>
          <w:spacing w:val="-1"/>
        </w:rPr>
        <w:lastRenderedPageBreak/>
        <w:t>absence or tardiness, the student must notify the clinical affiliate and the program Clinical Coordinator at least one half-hour before the expected arrival time. Ask to speak to your assigned clinical instructor or the 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proofErr w:type="gramStart"/>
      <w:r w:rsidRPr="00AF2C80">
        <w:rPr>
          <w:rFonts w:ascii="Times New Roman" w:hAnsi="Times New Roman" w:cs="Times New Roman"/>
          <w:spacing w:val="-1"/>
        </w:rPr>
        <w:t>Work Related</w:t>
      </w:r>
      <w:proofErr w:type="gramEnd"/>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42A82"/>
    <w:rsid w:val="001677A8"/>
    <w:rsid w:val="001851BC"/>
    <w:rsid w:val="00194115"/>
    <w:rsid w:val="001F7559"/>
    <w:rsid w:val="002939BA"/>
    <w:rsid w:val="002E21E3"/>
    <w:rsid w:val="002F60F0"/>
    <w:rsid w:val="00330D34"/>
    <w:rsid w:val="003459C9"/>
    <w:rsid w:val="00354E26"/>
    <w:rsid w:val="003A2A8F"/>
    <w:rsid w:val="003C2948"/>
    <w:rsid w:val="003E6F5C"/>
    <w:rsid w:val="00432A6B"/>
    <w:rsid w:val="00435483"/>
    <w:rsid w:val="00452E49"/>
    <w:rsid w:val="004565A6"/>
    <w:rsid w:val="00461117"/>
    <w:rsid w:val="004C1405"/>
    <w:rsid w:val="00520483"/>
    <w:rsid w:val="00525219"/>
    <w:rsid w:val="005C594A"/>
    <w:rsid w:val="005C79AC"/>
    <w:rsid w:val="006456B9"/>
    <w:rsid w:val="0066353F"/>
    <w:rsid w:val="00690DDA"/>
    <w:rsid w:val="006B38C0"/>
    <w:rsid w:val="006B6C48"/>
    <w:rsid w:val="006B75AE"/>
    <w:rsid w:val="006E56B3"/>
    <w:rsid w:val="00703DAD"/>
    <w:rsid w:val="00731E8B"/>
    <w:rsid w:val="00734508"/>
    <w:rsid w:val="0075077A"/>
    <w:rsid w:val="00777592"/>
    <w:rsid w:val="0079655E"/>
    <w:rsid w:val="007B4BA7"/>
    <w:rsid w:val="007C22BE"/>
    <w:rsid w:val="007C427F"/>
    <w:rsid w:val="008070A9"/>
    <w:rsid w:val="0081044C"/>
    <w:rsid w:val="008A6630"/>
    <w:rsid w:val="008C1D2C"/>
    <w:rsid w:val="00941EB0"/>
    <w:rsid w:val="00944A31"/>
    <w:rsid w:val="00945D60"/>
    <w:rsid w:val="00A00E45"/>
    <w:rsid w:val="00A855ED"/>
    <w:rsid w:val="00A90920"/>
    <w:rsid w:val="00AB5473"/>
    <w:rsid w:val="00AD732D"/>
    <w:rsid w:val="00AF2C80"/>
    <w:rsid w:val="00B11825"/>
    <w:rsid w:val="00B15C69"/>
    <w:rsid w:val="00B41117"/>
    <w:rsid w:val="00BA3C60"/>
    <w:rsid w:val="00C114AA"/>
    <w:rsid w:val="00C424C4"/>
    <w:rsid w:val="00C6042A"/>
    <w:rsid w:val="00C90C2D"/>
    <w:rsid w:val="00CC53C0"/>
    <w:rsid w:val="00D02744"/>
    <w:rsid w:val="00D32170"/>
    <w:rsid w:val="00D85118"/>
    <w:rsid w:val="00D91054"/>
    <w:rsid w:val="00E26142"/>
    <w:rsid w:val="00E53C66"/>
    <w:rsid w:val="00E63696"/>
    <w:rsid w:val="00EA7A41"/>
    <w:rsid w:val="00ED0E6E"/>
    <w:rsid w:val="00ED673A"/>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E47EC-6DEC-4F22-B1F7-549A7FE1CE04}">
  <ds:schemaRefs>
    <ds:schemaRef ds:uri="http://schemas.microsoft.com/office/2006/documentManagement/types"/>
    <ds:schemaRef ds:uri="http://www.w3.org/XML/1998/namespace"/>
    <ds:schemaRef ds:uri="http://purl.org/dc/dcmitype/"/>
    <ds:schemaRef ds:uri="e972be92-6e01-4516-b571-a1bb7cac2789"/>
    <ds:schemaRef ds:uri="http://schemas.microsoft.com/office/2006/metadata/properties"/>
    <ds:schemaRef ds:uri="http://schemas.openxmlformats.org/package/2006/metadata/core-properties"/>
    <ds:schemaRef ds:uri="http://schemas.microsoft.com/office/infopath/2007/PartnerControls"/>
    <ds:schemaRef ds:uri="b68f0def-f9d7-4480-8a64-5f3e65b84176"/>
    <ds:schemaRef ds:uri="http://purl.org/dc/terms/"/>
    <ds:schemaRef ds:uri="http://purl.org/dc/elements/1.1/"/>
  </ds:schemaRefs>
</ds:datastoreItem>
</file>

<file path=customXml/itemProps2.xml><?xml version="1.0" encoding="utf-8"?>
<ds:datastoreItem xmlns:ds="http://schemas.openxmlformats.org/officeDocument/2006/customXml" ds:itemID="{02B9A427-B6B3-4719-B783-CAB31153D216}">
  <ds:schemaRefs>
    <ds:schemaRef ds:uri="http://schemas.microsoft.com/sharepoint/v3/contenttype/forms"/>
  </ds:schemaRefs>
</ds:datastoreItem>
</file>

<file path=customXml/itemProps3.xml><?xml version="1.0" encoding="utf-8"?>
<ds:datastoreItem xmlns:ds="http://schemas.openxmlformats.org/officeDocument/2006/customXml" ds:itemID="{DB51A6E0-055B-4A05-B95B-C2B6A7C6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2021-01-12T20:11:00Z</cp:lastPrinted>
  <dcterms:created xsi:type="dcterms:W3CDTF">2022-04-27T15:04:00Z</dcterms:created>
  <dcterms:modified xsi:type="dcterms:W3CDTF">2022-04-28T21:06:00Z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