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2312.045 DC - Precalculus F2F</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Olivia Juarez</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MVHS Rm 303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537-3700 – High School Office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ojuarez@ntcc.edu</w:t>
      </w:r>
    </w:p>
    <w:tbl>
      <w:tblPr>
        <w:tblStyle w:val="Table1"/>
        <w:tblW w:w="1015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420"/>
        <w:gridCol w:w="1350"/>
        <w:tblGridChange w:id="0">
          <w:tblGrid>
            <w:gridCol w:w="1350"/>
            <w:gridCol w:w="1620"/>
            <w:gridCol w:w="1440"/>
            <w:gridCol w:w="1510"/>
            <w:gridCol w:w="1460"/>
            <w:gridCol w:w="1420"/>
            <w:gridCol w:w="135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pageBreakBefore w:val="0"/>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pageBreakBefore w:val="0"/>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pageBreakBefore w:val="0"/>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5">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 – 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7">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9">
            <w:pPr>
              <w:pageBreakBefore w:val="0"/>
              <w:spacing w:before="120" w:lineRule="auto"/>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 – 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B">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 – 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C">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tc>
        <w:tc>
          <w:tcPr>
            <w:tcBorders>
              <w:top w:color="000000" w:space="0" w:sz="6" w:val="single"/>
              <w:left w:color="000000" w:space="0" w:sz="6" w:val="single"/>
            </w:tcBorders>
            <w:shd w:fill="ffffff" w:val="clear"/>
          </w:tcPr>
          <w:p w:rsidR="00000000" w:rsidDel="00000000" w:rsidP="00000000" w:rsidRDefault="00000000" w:rsidRPr="00000000" w14:paraId="0000001D">
            <w:pPr>
              <w:pageBreakBefore w:val="0"/>
              <w:spacing w:before="120" w:line="228" w:lineRule="auto"/>
              <w:ind w:left="158"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By appointment</w:t>
            </w:r>
            <w:r w:rsidDel="00000000" w:rsidR="00000000" w:rsidRPr="00000000">
              <w:rPr>
                <w:rtl w:val="0"/>
              </w:rPr>
            </w:r>
          </w:p>
        </w:tc>
      </w:tr>
    </w:tbl>
    <w:p w:rsidR="00000000" w:rsidDel="00000000" w:rsidP="00000000" w:rsidRDefault="00000000" w:rsidRPr="00000000" w14:paraId="0000001E">
      <w:pPr>
        <w:pageBreakBefore w:val="0"/>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F">
      <w:pPr>
        <w:pageBreakBefore w:val="0"/>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20">
      <w:pPr>
        <w:pageBreakBefore w:val="0"/>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pageBreakBefore w:val="0"/>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22">
      <w:pPr>
        <w:pageBreakBefore w:val="0"/>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a standard first course in functional analysis with algebra, geometry, and geometric interpretations. Topics include the straight line, conics, translations, rotations, parametric equations, vectors, polar coordinates, and some curve sketching.  Three hours credit.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MATH 1316 with a grade of “C” or better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pageBreakBefore w:val="0"/>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8">
      <w:pPr>
        <w:pStyle w:val="Heading1"/>
        <w:pageBreakBefore w:val="0"/>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9">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2312.1   Demonstrate an understanding and knowledge of the properties of functions.</w:t>
      </w:r>
    </w:p>
    <w:p w:rsidR="00000000" w:rsidDel="00000000" w:rsidP="00000000" w:rsidRDefault="00000000" w:rsidRPr="00000000" w14:paraId="0000002A">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B">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2312.2   Recognize and apply algebraic and transcendental functions to solve related equations both algebraically and graphically.</w:t>
      </w:r>
    </w:p>
    <w:p w:rsidR="00000000" w:rsidDel="00000000" w:rsidP="00000000" w:rsidRDefault="00000000" w:rsidRPr="00000000" w14:paraId="0000002C">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D">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2312.3   Identify intervals of increasing, decreasing, or constant; estimate relative maxima and minima.</w:t>
      </w:r>
    </w:p>
    <w:p w:rsidR="00000000" w:rsidDel="00000000" w:rsidP="00000000" w:rsidRDefault="00000000" w:rsidRPr="00000000" w14:paraId="0000002E">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2312.4   Sketch algebraic curves with vertical, horizontal, and slant asymptotes and apply these graphs to ideas of continuity.</w:t>
      </w:r>
    </w:p>
    <w:p w:rsidR="00000000" w:rsidDel="00000000" w:rsidP="00000000" w:rsidRDefault="00000000" w:rsidRPr="00000000" w14:paraId="00000030">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1">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2312.5  Determine the standard equation of a conic with given conditions and solve applied problems involving a conic.</w:t>
      </w:r>
    </w:p>
    <w:p w:rsidR="00000000" w:rsidDel="00000000" w:rsidP="00000000" w:rsidRDefault="00000000" w:rsidRPr="00000000" w14:paraId="0000003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3">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2312.6   Solve applied problems with parametric forms, polar coordinates, vectors, and modeling.</w:t>
      </w:r>
    </w:p>
    <w:p w:rsidR="00000000" w:rsidDel="00000000" w:rsidP="00000000" w:rsidRDefault="00000000" w:rsidRPr="00000000" w14:paraId="00000034">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5">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6">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7">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8">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Core Curriculum Purpose and Objectives: </w:t>
      </w:r>
    </w:p>
    <w:p w:rsidR="00000000" w:rsidDel="00000000" w:rsidP="00000000" w:rsidRDefault="00000000" w:rsidRPr="00000000" w14:paraId="00000039">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rsidR="00000000" w:rsidDel="00000000" w:rsidP="00000000" w:rsidRDefault="00000000" w:rsidRPr="00000000" w14:paraId="0000003A">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rsidR="00000000" w:rsidDel="00000000" w:rsidP="00000000" w:rsidRDefault="00000000" w:rsidRPr="00000000" w14:paraId="0000003B">
      <w:pPr>
        <w:pStyle w:val="Heading1"/>
        <w:pageBreakBefore w:val="0"/>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3C">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Student Learning Outcomes: </w:t>
      </w:r>
    </w:p>
    <w:p w:rsidR="00000000" w:rsidDel="00000000" w:rsidP="00000000" w:rsidRDefault="00000000" w:rsidRPr="00000000" w14:paraId="0000003D">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3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0">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41">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4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3">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44">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5">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46">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7">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48">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9">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A">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B">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C">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4D">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4E">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50">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51">
      <w:pPr>
        <w:pStyle w:val="Heading1"/>
        <w:pageBreakBefore w:val="0"/>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pageBreakBefore w:val="0"/>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Evaluation/Grading Policy: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Tests/Exams 60%</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Daily/Homework 20%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Final Exam 20%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Daily work will be submitted in myMathLab and tests will be taken during class format. There   </w:t>
        <w:br w:type="textWrapping"/>
        <w:t xml:space="preserve">  </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no exemptions from the college final.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90-100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80-89</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70-79</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60-69</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 below 60</w:t>
      </w:r>
    </w:p>
    <w:p w:rsidR="00000000" w:rsidDel="00000000" w:rsidP="00000000" w:rsidRDefault="00000000" w:rsidRPr="00000000" w14:paraId="00000060">
      <w:pPr>
        <w:pStyle w:val="Heading1"/>
        <w:pageBreakBefore w:val="0"/>
        <w:ind w:firstLine="100"/>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Instructional Materials: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rtl w:val="0"/>
        </w:rPr>
        <w:t xml:space="preserve"> </w:t>
        <w:br w:type="textWrapping"/>
      </w:r>
      <w:r w:rsidDel="00000000" w:rsidR="00000000" w:rsidRPr="00000000">
        <w:rPr>
          <w:rFonts w:ascii="Times New Roman" w:cs="Times New Roman" w:eastAsia="Times New Roman" w:hAnsi="Times New Roman"/>
          <w:sz w:val="24"/>
          <w:szCs w:val="24"/>
          <w:rtl w:val="0"/>
        </w:rPr>
        <w:t xml:space="preserve">Sullivan/Sullivan, Precalculus Concepts through Functions – A Right Triangle Approach to Trigonometry, 4th Edition, 2010 with MyLabMath</w:t>
      </w:r>
    </w:p>
    <w:p w:rsidR="00000000" w:rsidDel="00000000" w:rsidP="00000000" w:rsidRDefault="00000000" w:rsidRPr="00000000" w14:paraId="00000062">
      <w:pPr>
        <w:pageBreakBefore w:val="0"/>
        <w:spacing w:before="11"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3">
      <w:pPr>
        <w:pStyle w:val="Heading1"/>
        <w:pageBreakBefore w:val="0"/>
        <w:ind w:left="0" w:right="29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Publisher: </w:t>
      </w:r>
      <w:r w:rsidDel="00000000" w:rsidR="00000000" w:rsidRPr="00000000">
        <w:rPr>
          <w:rFonts w:ascii="Times New Roman" w:cs="Times New Roman" w:eastAsia="Times New Roman" w:hAnsi="Times New Roman"/>
          <w:b w:val="0"/>
          <w:rtl w:val="0"/>
        </w:rPr>
        <w:t xml:space="preserve">Pearson, Boston, MA</w:t>
      </w:r>
      <w:r w:rsidDel="00000000" w:rsidR="00000000" w:rsidRPr="00000000">
        <w:rPr>
          <w:rFonts w:ascii="Times New Roman" w:cs="Times New Roman" w:eastAsia="Times New Roman" w:hAnsi="Times New Roman"/>
          <w:rtl w:val="0"/>
        </w:rPr>
        <w:tab/>
        <w:tab/>
        <w:tab/>
        <w:tab/>
        <w:t xml:space="preserve">ISBN Number: </w:t>
      </w:r>
      <w:r w:rsidDel="00000000" w:rsidR="00000000" w:rsidRPr="00000000">
        <w:rPr>
          <w:rFonts w:ascii="Times New Roman" w:cs="Times New Roman" w:eastAsia="Times New Roman" w:hAnsi="Times New Roman"/>
          <w:b w:val="0"/>
          <w:rtl w:val="0"/>
        </w:rPr>
        <w:t xml:space="preserve">13:978-0321645081</w:t>
      </w:r>
    </w:p>
    <w:p w:rsidR="00000000" w:rsidDel="00000000" w:rsidP="00000000" w:rsidRDefault="00000000" w:rsidRPr="00000000" w14:paraId="00000064">
      <w:pPr>
        <w:pageBreakBefore w:val="0"/>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5">
      <w:pPr>
        <w:pStyle w:val="Heading1"/>
        <w:pageBreakBefore w:val="0"/>
        <w:ind w:left="0" w:firstLine="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color w:val="000000"/>
          <w:rtl w:val="0"/>
        </w:rPr>
        <w:t xml:space="preserve">printed copy of </w:t>
      </w:r>
      <w:r w:rsidDel="00000000" w:rsidR="00000000" w:rsidRPr="00000000">
        <w:rPr>
          <w:rFonts w:ascii="Times New Roman" w:cs="Times New Roman" w:eastAsia="Times New Roman" w:hAnsi="Times New Roman"/>
          <w:b w:val="0"/>
          <w:rtl w:val="0"/>
        </w:rPr>
        <w:t xml:space="preserve">Sullivan/Sullivan, Precalculus Concepts through Functions – A Right Triangle Approach to Trigonometry, 2nd Edition</w:t>
      </w:r>
      <w:r w:rsidDel="00000000" w:rsidR="00000000" w:rsidRPr="00000000">
        <w:rPr>
          <w:rtl w:val="0"/>
        </w:rPr>
      </w:r>
    </w:p>
    <w:p w:rsidR="00000000" w:rsidDel="00000000" w:rsidP="00000000" w:rsidRDefault="00000000" w:rsidRPr="00000000" w14:paraId="00000066">
      <w:pPr>
        <w:pStyle w:val="Heading1"/>
        <w:pageBreakBefore w:val="0"/>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67">
      <w:pPr>
        <w:pStyle w:val="Heading1"/>
        <w:pageBreakBefore w:val="0"/>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8">
      <w:pPr>
        <w:pStyle w:val="Heading1"/>
        <w:pageBreakBefore w:val="0"/>
        <w:ind w:left="0" w:firstLine="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laptop or computer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online homework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rtl w:val="0"/>
        </w:rPr>
        <w:t xml:space="preserve">graphing calculator</w:t>
      </w:r>
      <w:r w:rsidDel="00000000" w:rsidR="00000000" w:rsidRPr="00000000">
        <w:rPr>
          <w:rtl w:val="0"/>
        </w:rPr>
      </w:r>
    </w:p>
    <w:p w:rsidR="00000000" w:rsidDel="00000000" w:rsidP="00000000" w:rsidRDefault="00000000" w:rsidRPr="00000000" w14:paraId="00000069">
      <w:pPr>
        <w:pStyle w:val="Heading1"/>
        <w:pageBreakBefore w:val="0"/>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6B">
      <w:pPr>
        <w:pStyle w:val="Heading1"/>
        <w:pageBreakBefore w:val="0"/>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Style w:val="Heading1"/>
        <w:pageBreakBefore w:val="0"/>
        <w:spacing w:line="281"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This is a 16-week embedded dual credit course designed for students who are concurrently enrolled in both a high school precalculus class and the college-level class.  The course is managed with information and activities that are posted on the Blackboard Learning Management System.  A typical class involves general participation by all students in discussions regarding mathematical principles and procedures being studied.  Students are required to complete online homework in addition to in-class quizzes, projects, and exams.  It is very important students keep up with course materials and assignments since this is a college-level course.  Students are expected to complete all assignments by due dates.</w:t>
      </w:r>
    </w:p>
    <w:p w:rsidR="00000000" w:rsidDel="00000000" w:rsidP="00000000" w:rsidRDefault="00000000" w:rsidRPr="00000000" w14:paraId="0000006D">
      <w:pPr>
        <w:pStyle w:val="Heading1"/>
        <w:pageBreakBefore w:val="0"/>
        <w:spacing w:line="281"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Style w:val="Heading1"/>
        <w:pageBreakBefore w:val="0"/>
        <w:spacing w:line="281"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The college’s official means of communication is via your campus email address. I will use your campus email address, Mt Vernon email address, Blackboard, Google Classroom and MyMathLab to communicate with you outside of class. Make sure you keep your campus email cleaned out and below the limit so you can receive important messages.    </w:t>
      </w:r>
      <w:r w:rsidDel="00000000" w:rsidR="00000000" w:rsidRPr="00000000">
        <w:rPr>
          <w:rtl w:val="0"/>
        </w:rPr>
      </w:r>
    </w:p>
    <w:p w:rsidR="00000000" w:rsidDel="00000000" w:rsidP="00000000" w:rsidRDefault="00000000" w:rsidRPr="00000000" w14:paraId="0000006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70">
      <w:pPr>
        <w:pStyle w:val="Heading1"/>
        <w:pageBreakBefore w:val="0"/>
        <w:ind w:left="0" w:firstLine="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Fonts w:ascii="Times New Roman" w:cs="Times New Roman" w:eastAsia="Times New Roman" w:hAnsi="Times New Roman"/>
          <w:b w:val="0"/>
          <w:rtl w:val="0"/>
        </w:rPr>
        <w:t xml:space="preserve">This is a dual credit class held on the Mt Vernon campus. Students are required to follow the attendance and dress code as well as all other rules and acceptable use policies stated in the MVHS student code of conduct. Students are expected to behave as responsible college students; therefore, no academic information about a student can be given to another individual or parents without the expressed written consent of the student.</w:t>
      </w:r>
      <w:r w:rsidDel="00000000" w:rsidR="00000000" w:rsidRPr="00000000">
        <w:rPr>
          <w:rtl w:val="0"/>
        </w:rPr>
      </w:r>
    </w:p>
    <w:p w:rsidR="00000000" w:rsidDel="00000000" w:rsidP="00000000" w:rsidRDefault="00000000" w:rsidRPr="00000000" w14:paraId="00000071">
      <w:pPr>
        <w:pStyle w:val="Heading1"/>
        <w:pageBreakBefore w:val="0"/>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Style w:val="Heading1"/>
        <w:pageBreakBefore w:val="0"/>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ageBreakBefore w:val="0"/>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4">
      <w:pPr>
        <w:pageBreakBefore w:val="0"/>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5">
      <w:pPr>
        <w:pageBreakBefore w:val="0"/>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6">
      <w:pPr>
        <w:pageBreakBefore w:val="0"/>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pageBreakBefore w:val="0"/>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8">
      <w:pPr>
        <w:pStyle w:val="Heading1"/>
        <w:pageBreakBefore w:val="0"/>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Style w:val="Heading1"/>
        <w:pageBreakBefore w:val="0"/>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B">
      <w:pPr>
        <w:pageBreakBefore w:val="0"/>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pStyle w:val="Heading1"/>
        <w:pageBreakBefore w:val="0"/>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D">
      <w:pPr>
        <w:pageBreakBefore w:val="0"/>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E">
      <w:pPr>
        <w:pageBreakBefore w:val="0"/>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Style w:val="Heading1"/>
        <w:pageBreakBefore w:val="0"/>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ind w:right="1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Outline: All due dates for daily assignments are posted in myMathLab, project deadlines will be posted in blackboard and tests are due at the end of the class period.  Tests must be taken on the date scheduled by the instructor unless the student makes arrangements with the instructor prior to the test.  Failure to show on the test day will result in a failed test.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10282.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6.731757451182"/>
        <w:gridCol w:w="4364.302158273382"/>
        <w:gridCol w:w="570.6351490236383"/>
        <w:gridCol w:w="1056.731757451182"/>
        <w:gridCol w:w="3233.5991778006164"/>
        <w:tblGridChange w:id="0">
          <w:tblGrid>
            <w:gridCol w:w="1056.731757451182"/>
            <w:gridCol w:w="4364.302158273382"/>
            <w:gridCol w:w="570.6351490236383"/>
            <w:gridCol w:w="1056.731757451182"/>
            <w:gridCol w:w="3233.5991778006164"/>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PreCalculus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Jan3</w:t>
            </w:r>
          </w:p>
        </w:tc>
        <w:tc>
          <w:tcPr>
            <w:tcBorders>
              <w:top w:color="cccccc" w:space="0" w:sz="6" w:val="single"/>
              <w:left w:color="cccccc" w:space="0" w:sz="6" w:val="single"/>
              <w:bottom w:color="cccccc"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Day/ Student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Mar14</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8.4 Vectors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Mar15</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8.4 Vectors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Mar16</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The Dot 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Mar17</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8.6 Vectors in Space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8.7 The Cross 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Composite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Composite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Vector Exam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One to One Functions, Inverse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One to One Functions, Inverse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The Graph of a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 Exponential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Jan17</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 Exponential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Properties of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Library of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Graphing Techniques and Transformations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Properties of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Mathematical Models; Building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Properties of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Jan24</w:t>
            </w:r>
          </w:p>
        </w:tc>
        <w:tc>
          <w:tcPr>
            <w:tcBorders>
              <w:top w:color="cccccc" w:space="0" w:sz="6" w:val="single"/>
              <w:left w:color="cccccc" w:space="0" w:sz="6" w:val="single"/>
              <w:bottom w:color="cccccc"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F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Development / Student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Properties of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Mathematical Models; Building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Properties of Logarithmic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1.7 Building Mathematical Models Using Variation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4.6 Logarithmic and Exponential Equations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1.7 Building Mathematical Models Using Variation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4.6 Logarithmic and Exponential Equations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1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4.8 Growth and Decay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spacing w:line="276" w:lineRule="auto"/>
              <w:rPr>
                <w:rFonts w:ascii="Arial" w:cs="Arial" w:eastAsia="Arial" w:hAnsi="Arial"/>
                <w:sz w:val="20"/>
                <w:szCs w:val="20"/>
              </w:rPr>
            </w:pPr>
            <w:r w:rsidDel="00000000" w:rsidR="00000000" w:rsidRPr="00000000">
              <w:rPr>
                <w:rFonts w:ascii="Arial" w:cs="Arial" w:eastAsia="Arial" w:hAnsi="Arial"/>
                <w:color w:val="9900ff"/>
                <w:sz w:val="20"/>
                <w:szCs w:val="20"/>
                <w:rtl w:val="0"/>
              </w:rPr>
              <w:t xml:space="preserve">end of six weeks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spacing w:line="276" w:lineRule="auto"/>
              <w:rPr>
                <w:rFonts w:ascii="Arial" w:cs="Arial" w:eastAsia="Arial" w:hAnsi="Arial"/>
                <w:sz w:val="20"/>
                <w:szCs w:val="20"/>
              </w:rPr>
            </w:pPr>
            <w:r w:rsidDel="00000000" w:rsidR="00000000" w:rsidRPr="00000000">
              <w:rPr>
                <w:rFonts w:ascii="Arial" w:cs="Arial" w:eastAsia="Arial" w:hAnsi="Arial"/>
                <w:color w:val="cc0000"/>
                <w:sz w:val="20"/>
                <w:szCs w:val="20"/>
                <w:rtl w:val="0"/>
              </w:rPr>
              <w:t xml:space="preserve">Chapter 1 Exam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Apr11</w:t>
            </w:r>
          </w:p>
        </w:tc>
        <w:tc>
          <w:tcPr>
            <w:tcBorders>
              <w:top w:color="cccccc" w:space="0" w:sz="6" w:val="single"/>
              <w:left w:color="cccccc" w:space="0" w:sz="6" w:val="single"/>
              <w:bottom w:color="cccccc"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12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Development / Student Holiday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Properties of Linear Functions and Linear Models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4.9 Building Logarithmic and Logistic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Properties of Linear Functions and Linear Models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4.9 Building Logarithmic and Logistic Functions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Building Linear Models from Data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4 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Quadratic Functions and Their Zeros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Test 6</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Properties of Quadratic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4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Possible Bad Weather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Properties of Quadratic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9.2 Parabolas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2.1-2.4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9.2 Parabolas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Test 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9.3 Ellipse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Inequalities Involving Quadratic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9.3 Ellipse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Inequalities Involving Quadratic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9.4 Hyperbolas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2.6 Building Quadratic Models from Verbal Descriptions and Data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9.4 Hyperbolas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2.6 Building Quadratic Models from Verbal Descriptions and Data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9.5 Rotation of Axes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2.7 Complex Zeros of a Quadratic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9.5 Rotation of Axes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7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9.5 Rotation of Axes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Feb21</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8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9.7 Plane Curves and Parametric Equation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2.8 Equations and Inequalities Involving the Absolute Value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9.7 Plane Curves and Parametric Equation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2.8 Equations and Inequalities Involving the Absolute Value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9 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2.5-2.8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Test 7</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Test 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exams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Polynomial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exams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Polynomial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exams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Properties of Rational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final exams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Properties of Rational Functions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final exams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The Graphs of a Rational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The Real Zeros of a Function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 Complex Zeros; Fundamental Theorem of Algebra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5">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 Complex Zeros; Fundamental Theorem of Algebra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3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F">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1">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Test 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4">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link w:val="Heading1Char"/>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character" w:styleId="Heading1Char" w:customStyle="1">
    <w:name w:val="Heading 1 Char"/>
    <w:basedOn w:val="DefaultParagraphFont"/>
    <w:link w:val="Heading1"/>
    <w:uiPriority w:val="1"/>
    <w:rsid w:val="00E32D82"/>
    <w:rPr>
      <w:rFonts w:ascii="Cambria" w:eastAsia="Cambria" w:hAnsi="Cambria"/>
      <w:b w:val="1"/>
      <w:bCs w:val="1"/>
      <w:sz w:val="24"/>
      <w:szCs w:val="24"/>
    </w:rPr>
  </w:style>
  <w:style w:type="paragraph" w:styleId="default" w:customStyle="1">
    <w:name w:val="default"/>
    <w:basedOn w:val="Normal"/>
    <w:rsid w:val="00CD707F"/>
    <w:pPr>
      <w:widowControl w:val="1"/>
      <w:spacing w:after="100" w:afterAutospacing="1" w:before="100" w:beforeAutospacing="1"/>
    </w:pPr>
    <w:rPr>
      <w:rFonts w:ascii="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BqJFspUabD6o78gBMdgXr7Yeg==">AMUW2mW0mJyAfq97cYhayyspT4cEy9wJshCzSVhqgbGBG6FyC0ttdbeyJX9k7nOSH0zNB/spNDt99Aphfvce8KMtXkJGiRWIwXVwVq4+u2Il0t7CVIU87oA=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2021-01-03T16:45:00Z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