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51FC1A4F" w14:textId="77777777">
        <w:trPr>
          <w:trHeight w:val="549"/>
        </w:trPr>
        <w:tc>
          <w:tcPr>
            <w:tcW w:w="1800" w:type="dxa"/>
            <w:vMerge w:val="restart"/>
          </w:tcPr>
          <w:p w14:paraId="3BD6BBFB"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64C9B8CF" wp14:editId="29C3D589">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37F66054" w14:textId="1A5DC82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A7754E">
              <w:rPr>
                <w:rFonts w:ascii="Times New Roman" w:hAnsi="Times New Roman" w:cs="Times New Roman"/>
                <w:b/>
                <w:sz w:val="32"/>
              </w:rPr>
              <w:t>13 IN</w:t>
            </w:r>
            <w:r w:rsidR="00626BE7" w:rsidRPr="004B1D52">
              <w:rPr>
                <w:rFonts w:ascii="Times New Roman" w:hAnsi="Times New Roman" w:cs="Times New Roman"/>
                <w:b/>
                <w:sz w:val="32"/>
              </w:rPr>
              <w:t xml:space="preserve"> – </w:t>
            </w:r>
            <w:r w:rsidR="00A7754E">
              <w:rPr>
                <w:rFonts w:ascii="Times New Roman" w:hAnsi="Times New Roman" w:cs="Times New Roman"/>
                <w:b/>
                <w:sz w:val="32"/>
              </w:rPr>
              <w:t>Juvenile Justice Systems</w:t>
            </w:r>
            <w:r w:rsidR="00D52288" w:rsidRPr="004B1D52">
              <w:rPr>
                <w:rFonts w:ascii="Times New Roman" w:hAnsi="Times New Roman" w:cs="Times New Roman"/>
                <w:b/>
                <w:sz w:val="32"/>
              </w:rPr>
              <w:t xml:space="preserve"> </w:t>
            </w:r>
          </w:p>
          <w:p w14:paraId="01DA4FAF" w14:textId="73C522DF"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7D11B1">
              <w:rPr>
                <w:rFonts w:ascii="Times New Roman" w:hAnsi="Times New Roman" w:cs="Times New Roman"/>
              </w:rPr>
              <w:t>Summer I</w:t>
            </w:r>
            <w:r w:rsidR="006546E1">
              <w:rPr>
                <w:rFonts w:ascii="Times New Roman" w:hAnsi="Times New Roman" w:cs="Times New Roman"/>
              </w:rPr>
              <w:t xml:space="preserve"> 20</w:t>
            </w:r>
            <w:r w:rsidR="00ED5EAD">
              <w:rPr>
                <w:rFonts w:ascii="Times New Roman" w:hAnsi="Times New Roman" w:cs="Times New Roman"/>
              </w:rPr>
              <w:t>2</w:t>
            </w:r>
            <w:r w:rsidR="0095179D">
              <w:rPr>
                <w:rFonts w:ascii="Times New Roman" w:hAnsi="Times New Roman" w:cs="Times New Roman"/>
              </w:rPr>
              <w:t>1</w:t>
            </w:r>
          </w:p>
          <w:p w14:paraId="2F2FA5E5" w14:textId="77777777" w:rsidR="00D52288" w:rsidRPr="004B1D52" w:rsidRDefault="003805C9" w:rsidP="00E114BC">
            <w:pPr>
              <w:rPr>
                <w:rFonts w:ascii="Times New Roman" w:hAnsi="Times New Roman" w:cs="Times New Roman"/>
              </w:rPr>
            </w:pPr>
            <w:r>
              <w:rPr>
                <w:rFonts w:ascii="Times New Roman" w:hAnsi="Times New Roman" w:cs="Times New Roman"/>
              </w:rPr>
              <w:pict w14:anchorId="58E3B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7601D534" w14:textId="77777777">
        <w:trPr>
          <w:trHeight w:val="960"/>
        </w:trPr>
        <w:tc>
          <w:tcPr>
            <w:tcW w:w="1800" w:type="dxa"/>
            <w:vMerge/>
          </w:tcPr>
          <w:p w14:paraId="4F8A2A8E" w14:textId="77777777" w:rsidR="00D52288" w:rsidRPr="004B1D52" w:rsidRDefault="00D52288">
            <w:pPr>
              <w:rPr>
                <w:rFonts w:ascii="Times New Roman" w:hAnsi="Times New Roman" w:cs="Times New Roman"/>
                <w:noProof/>
              </w:rPr>
            </w:pPr>
          </w:p>
        </w:tc>
        <w:tc>
          <w:tcPr>
            <w:tcW w:w="8280" w:type="dxa"/>
            <w:gridSpan w:val="6"/>
            <w:vMerge w:val="restart"/>
          </w:tcPr>
          <w:p w14:paraId="028F6BF9"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532DCF87" w14:textId="77777777" w:rsidR="00D52288" w:rsidRPr="004B1D52" w:rsidRDefault="00D52288" w:rsidP="007D3FB2">
            <w:pPr>
              <w:spacing w:line="240" w:lineRule="exact"/>
              <w:rPr>
                <w:rFonts w:ascii="Times New Roman" w:hAnsi="Times New Roman" w:cs="Times New Roman"/>
                <w:iCs/>
                <w:color w:val="000000"/>
                <w:sz w:val="18"/>
                <w:szCs w:val="72"/>
              </w:rPr>
            </w:pPr>
          </w:p>
          <w:p w14:paraId="1F7F3DFF"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6F7A22D8"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3B97B60D"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462FD4AF" w14:textId="77777777" w:rsidR="007D11B1" w:rsidRPr="004B1D52" w:rsidRDefault="007D11B1" w:rsidP="00F45421">
            <w:pPr>
              <w:rPr>
                <w:rFonts w:ascii="Times New Roman" w:hAnsi="Times New Roman" w:cs="Times New Roman"/>
              </w:rPr>
            </w:pPr>
          </w:p>
          <w:p w14:paraId="33FF0DC0" w14:textId="77777777" w:rsidR="007F350E" w:rsidRPr="002C750F" w:rsidRDefault="002C750F" w:rsidP="007F350E">
            <w:pPr>
              <w:widowControl w:val="0"/>
              <w:autoSpaceDE w:val="0"/>
              <w:autoSpaceDN w:val="0"/>
              <w:adjustRightInd w:val="0"/>
              <w:rPr>
                <w:rFonts w:ascii="Times New Roman" w:hAnsi="Times New Roman" w:cs="Times New Roman"/>
                <w:b/>
              </w:rPr>
            </w:pPr>
            <w:r w:rsidRPr="002C750F">
              <w:rPr>
                <w:rFonts w:ascii="Times New Roman" w:hAnsi="Times New Roman" w:cs="Times New Roman"/>
                <w:b/>
              </w:rPr>
              <w:t xml:space="preserve">Please Use </w:t>
            </w:r>
            <w:r w:rsidR="006546E1">
              <w:rPr>
                <w:rFonts w:ascii="Times New Roman" w:hAnsi="Times New Roman" w:cs="Times New Roman"/>
                <w:b/>
              </w:rPr>
              <w:t>NTCC</w:t>
            </w:r>
            <w:r w:rsidRPr="002C750F">
              <w:rPr>
                <w:rFonts w:ascii="Times New Roman" w:hAnsi="Times New Roman" w:cs="Times New Roman"/>
                <w:b/>
              </w:rPr>
              <w:t xml:space="preserve"> </w:t>
            </w:r>
            <w:r w:rsidR="006546E1">
              <w:rPr>
                <w:rFonts w:ascii="Times New Roman" w:hAnsi="Times New Roman" w:cs="Times New Roman"/>
                <w:b/>
              </w:rPr>
              <w:t>E</w:t>
            </w:r>
            <w:r w:rsidR="006546E1" w:rsidRPr="002C750F">
              <w:rPr>
                <w:rFonts w:ascii="Times New Roman" w:hAnsi="Times New Roman" w:cs="Times New Roman"/>
                <w:b/>
              </w:rPr>
              <w:t>mail</w:t>
            </w:r>
            <w:r w:rsidRPr="002C750F">
              <w:rPr>
                <w:rFonts w:ascii="Times New Roman" w:hAnsi="Times New Roman" w:cs="Times New Roman"/>
                <w:b/>
              </w:rPr>
              <w:t xml:space="preserve"> For Class Correspondence</w:t>
            </w:r>
          </w:p>
          <w:p w14:paraId="5ABF3FDD" w14:textId="77777777" w:rsidR="00D52288" w:rsidRPr="004B1D52" w:rsidRDefault="00D52288" w:rsidP="00F45421">
            <w:pPr>
              <w:rPr>
                <w:rFonts w:ascii="Times New Roman" w:hAnsi="Times New Roman" w:cs="Times New Roman"/>
              </w:rPr>
            </w:pPr>
          </w:p>
        </w:tc>
      </w:tr>
      <w:tr w:rsidR="00D52288" w:rsidRPr="004B1D52" w14:paraId="2E3DA314" w14:textId="77777777" w:rsidTr="00802190">
        <w:trPr>
          <w:trHeight w:val="720"/>
        </w:trPr>
        <w:tc>
          <w:tcPr>
            <w:tcW w:w="1800" w:type="dxa"/>
            <w:vMerge/>
            <w:tcBorders>
              <w:bottom w:val="single" w:sz="8" w:space="0" w:color="000000" w:themeColor="text1"/>
            </w:tcBorders>
          </w:tcPr>
          <w:p w14:paraId="3F5D1684"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71358BB5" w14:textId="77777777" w:rsidR="00D52288" w:rsidRPr="004B1D52" w:rsidRDefault="00D52288" w:rsidP="00E114BC">
            <w:pPr>
              <w:rPr>
                <w:rFonts w:ascii="Times New Roman" w:hAnsi="Times New Roman" w:cs="Times New Roman"/>
              </w:rPr>
            </w:pPr>
          </w:p>
        </w:tc>
      </w:tr>
      <w:tr w:rsidR="003120CF" w:rsidRPr="004B1D52" w14:paraId="5A1C745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0DA607B7"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3582BBF7"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71CD5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FDE8D6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7E4186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4896C8F"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7165973"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F729720"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4DF46BE3"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10A77BDB"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74306"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E2F514"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E0C712"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41F054"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DAAD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48002B3"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6CBAEDDA"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34DBBBA8" w14:textId="77777777" w:rsidR="00802190" w:rsidRPr="004B1D52" w:rsidRDefault="00802190" w:rsidP="006546E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6546E1">
              <w:rPr>
                <w:rFonts w:ascii="Times New Roman" w:hAnsi="Times New Roman" w:cs="Times New Roman"/>
              </w:rPr>
              <w:t xml:space="preserve"> </w:t>
            </w:r>
            <w:r w:rsidR="00FA22F6">
              <w:rPr>
                <w:rFonts w:ascii="Times New Roman" w:hAnsi="Times New Roman" w:cs="Times New Roman"/>
              </w:rPr>
              <w:t>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5A43AB85"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7117F9BC"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FD49B21" w14:textId="77777777" w:rsidR="003E542F" w:rsidRPr="004B1D52" w:rsidRDefault="003E542F" w:rsidP="008631F4">
      <w:pPr>
        <w:rPr>
          <w:rFonts w:ascii="Times New Roman" w:hAnsi="Times New Roman" w:cs="Times New Roman"/>
          <w:b/>
          <w:iCs/>
          <w:color w:val="000000"/>
          <w:szCs w:val="72"/>
        </w:rPr>
      </w:pPr>
    </w:p>
    <w:p w14:paraId="5A502850"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50277168" w14:textId="7B29653C"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shall include</w:t>
      </w:r>
      <w:r w:rsidR="00A7754E">
        <w:rPr>
          <w:rFonts w:ascii="Times New Roman" w:hAnsi="Times New Roman" w:cs="Times New Roman"/>
        </w:rPr>
        <w:t xml:space="preserve"> a study of the juvenile justice </w:t>
      </w:r>
      <w:r w:rsidR="00140E69">
        <w:rPr>
          <w:rFonts w:ascii="Times New Roman" w:hAnsi="Times New Roman" w:cs="Times New Roman"/>
        </w:rPr>
        <w:t>process to include specialized juvenile law, role of the juvenile law, role of the juvenile courts, role of police agencies, role of correctional agencies, and theories concerning delinquency.</w:t>
      </w:r>
      <w:r w:rsidR="007D11B1">
        <w:rPr>
          <w:rFonts w:ascii="Times New Roman" w:hAnsi="Times New Roman" w:cs="Times New Roman"/>
        </w:rPr>
        <w:t xml:space="preserve">  </w:t>
      </w:r>
    </w:p>
    <w:p w14:paraId="143695A6" w14:textId="77777777" w:rsidR="00016417" w:rsidRDefault="00016417" w:rsidP="00016417">
      <w:pPr>
        <w:ind w:left="360"/>
        <w:rPr>
          <w:rFonts w:ascii="Times New Roman" w:hAnsi="Times New Roman" w:cs="Times New Roman"/>
        </w:rPr>
      </w:pPr>
    </w:p>
    <w:p w14:paraId="0D17C63E"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641CF031"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4537866E" w14:textId="77777777" w:rsidR="004B1D52" w:rsidRPr="004B1D52" w:rsidRDefault="004B1D52" w:rsidP="004B1D52">
      <w:pPr>
        <w:ind w:left="360"/>
        <w:rPr>
          <w:rFonts w:ascii="Times New Roman" w:hAnsi="Times New Roman" w:cs="Times New Roman"/>
        </w:rPr>
      </w:pPr>
    </w:p>
    <w:p w14:paraId="7E2D02BF"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1FCF62F5" w14:textId="7B0E8631" w:rsidR="00C8368F" w:rsidRDefault="00140E69" w:rsidP="00C8368F">
      <w:pPr>
        <w:ind w:left="360"/>
        <w:rPr>
          <w:rFonts w:ascii="Times New Roman" w:hAnsi="Times New Roman" w:cs="Times New Roman"/>
          <w:bCs/>
        </w:rPr>
      </w:pPr>
      <w:r>
        <w:rPr>
          <w:rFonts w:ascii="Times New Roman" w:hAnsi="Times New Roman" w:cs="Times New Roman"/>
          <w:bCs/>
          <w:i/>
        </w:rPr>
        <w:t>There is no required textbook for the Independent Study course</w:t>
      </w:r>
      <w:r w:rsidR="00C8368F">
        <w:rPr>
          <w:rFonts w:ascii="Times New Roman" w:hAnsi="Times New Roman" w:cs="Times New Roman"/>
          <w:bCs/>
        </w:rPr>
        <w:t>.</w:t>
      </w:r>
    </w:p>
    <w:p w14:paraId="7214175C" w14:textId="77777777" w:rsidR="00C8368F" w:rsidRDefault="00C8368F" w:rsidP="00C8368F">
      <w:pPr>
        <w:ind w:left="360"/>
        <w:rPr>
          <w:rFonts w:ascii="Times New Roman" w:hAnsi="Times New Roman" w:cs="Times New Roman"/>
          <w:bCs/>
        </w:rPr>
      </w:pPr>
    </w:p>
    <w:p w14:paraId="68971CD7"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083A490A" w14:textId="77777777" w:rsidR="00DE1543" w:rsidRDefault="00DE1543" w:rsidP="004B1D52">
      <w:pPr>
        <w:ind w:left="360"/>
        <w:rPr>
          <w:rFonts w:ascii="Times New Roman" w:hAnsi="Times New Roman" w:cs="Times New Roman"/>
          <w:b/>
        </w:rPr>
      </w:pPr>
    </w:p>
    <w:p w14:paraId="3F10AB72"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7D8E11B2"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4E49DF56" w14:textId="77777777" w:rsidR="008F66E9" w:rsidRDefault="008F66E9" w:rsidP="00D12357">
      <w:pPr>
        <w:rPr>
          <w:rFonts w:ascii="Times New Roman" w:hAnsi="Times New Roman" w:cs="Times New Roman"/>
          <w:b/>
        </w:rPr>
      </w:pPr>
    </w:p>
    <w:p w14:paraId="0309C1E2" w14:textId="77777777" w:rsidR="00DE1543" w:rsidRDefault="00DE1543" w:rsidP="00D12357">
      <w:pPr>
        <w:rPr>
          <w:rFonts w:ascii="Times New Roman" w:hAnsi="Times New Roman" w:cs="Times New Roman"/>
          <w:b/>
        </w:rPr>
      </w:pPr>
    </w:p>
    <w:p w14:paraId="2F393C12"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41C25681" w14:textId="77777777" w:rsidR="000251A3" w:rsidRDefault="000251A3" w:rsidP="000251A3">
      <w:pPr>
        <w:ind w:left="360"/>
        <w:rPr>
          <w:rFonts w:ascii="Times New Roman" w:hAnsi="Times New Roman" w:cs="Times New Roman"/>
        </w:rPr>
      </w:pPr>
    </w:p>
    <w:p w14:paraId="577D7624"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032A36C5" w14:textId="77777777" w:rsidR="000251A3" w:rsidRPr="000251A3" w:rsidRDefault="000251A3" w:rsidP="000251A3">
      <w:pPr>
        <w:ind w:left="360"/>
        <w:rPr>
          <w:rFonts w:ascii="Times New Roman" w:hAnsi="Times New Roman" w:cs="Times New Roman"/>
          <w:u w:val="single"/>
        </w:rPr>
      </w:pPr>
    </w:p>
    <w:p w14:paraId="0583E86E" w14:textId="109B6BE9"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 xml:space="preserve">Explain the foundations, origins, and justifications </w:t>
      </w:r>
      <w:r w:rsidR="007D11B1">
        <w:rPr>
          <w:rFonts w:ascii="Times New Roman" w:eastAsia="Times New Roman" w:hAnsi="Times New Roman" w:cs="Times New Roman"/>
          <w:lang w:eastAsia="en-US"/>
        </w:rPr>
        <w:t xml:space="preserve">of the </w:t>
      </w:r>
      <w:r w:rsidR="00140E69">
        <w:rPr>
          <w:rFonts w:ascii="Times New Roman" w:eastAsia="Times New Roman" w:hAnsi="Times New Roman" w:cs="Times New Roman"/>
          <w:lang w:eastAsia="en-US"/>
        </w:rPr>
        <w:t>Juvenile Justice</w:t>
      </w:r>
      <w:r w:rsidR="007D11B1">
        <w:rPr>
          <w:rFonts w:ascii="Times New Roman" w:eastAsia="Times New Roman" w:hAnsi="Times New Roman" w:cs="Times New Roman"/>
          <w:lang w:eastAsia="en-US"/>
        </w:rPr>
        <w:t xml:space="preserve"> system in the </w:t>
      </w:r>
      <w:r w:rsidR="008F59D5">
        <w:rPr>
          <w:rFonts w:ascii="Times New Roman" w:eastAsia="Times New Roman" w:hAnsi="Times New Roman" w:cs="Times New Roman"/>
          <w:lang w:eastAsia="en-US"/>
        </w:rPr>
        <w:t>Texas</w:t>
      </w:r>
      <w:r>
        <w:rPr>
          <w:rFonts w:ascii="Times New Roman" w:eastAsia="Times New Roman" w:hAnsi="Times New Roman" w:cs="Times New Roman"/>
          <w:lang w:eastAsia="en-US"/>
        </w:rPr>
        <w:t>.</w:t>
      </w:r>
    </w:p>
    <w:p w14:paraId="307874AB" w14:textId="44DD22F5" w:rsidR="000251A3" w:rsidRPr="000251A3" w:rsidRDefault="007D11B1"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Evaluate the role that the Law Enforcement community plays in the </w:t>
      </w:r>
      <w:r w:rsidR="008F59D5">
        <w:rPr>
          <w:rFonts w:ascii="Times New Roman" w:eastAsia="Times New Roman" w:hAnsi="Times New Roman" w:cs="Times New Roman"/>
          <w:lang w:eastAsia="en-US"/>
        </w:rPr>
        <w:t>Juvenile</w:t>
      </w:r>
      <w:r>
        <w:rPr>
          <w:rFonts w:ascii="Times New Roman" w:eastAsia="Times New Roman" w:hAnsi="Times New Roman" w:cs="Times New Roman"/>
          <w:lang w:eastAsia="en-US"/>
        </w:rPr>
        <w:t xml:space="preserve"> Justice system</w:t>
      </w:r>
      <w:r w:rsidR="000251A3" w:rsidRPr="000251A3">
        <w:rPr>
          <w:rFonts w:ascii="Times New Roman" w:eastAsia="Times New Roman" w:hAnsi="Times New Roman" w:cs="Times New Roman"/>
          <w:lang w:eastAsia="en-US"/>
        </w:rPr>
        <w:t>.</w:t>
      </w:r>
    </w:p>
    <w:p w14:paraId="18209124" w14:textId="1D9D9E97" w:rsidR="00ED3DB8" w:rsidRDefault="007D11B1"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Describe the structure, function, and operational jurisdiction of the various Texas </w:t>
      </w:r>
      <w:r w:rsidR="008F59D5">
        <w:rPr>
          <w:rFonts w:ascii="Times New Roman" w:eastAsia="Times New Roman" w:hAnsi="Times New Roman" w:cs="Times New Roman"/>
          <w:lang w:eastAsia="en-US"/>
        </w:rPr>
        <w:t xml:space="preserve">juvenile </w:t>
      </w:r>
      <w:r>
        <w:rPr>
          <w:rFonts w:ascii="Times New Roman" w:eastAsia="Times New Roman" w:hAnsi="Times New Roman" w:cs="Times New Roman"/>
          <w:lang w:eastAsia="en-US"/>
        </w:rPr>
        <w:t>court systems</w:t>
      </w:r>
      <w:r w:rsidR="00ED3DB8">
        <w:rPr>
          <w:rFonts w:ascii="Times New Roman" w:eastAsia="Times New Roman" w:hAnsi="Times New Roman" w:cs="Times New Roman"/>
          <w:lang w:eastAsia="en-US"/>
        </w:rPr>
        <w:t>.</w:t>
      </w:r>
    </w:p>
    <w:p w14:paraId="346CD22E" w14:textId="7986DCDB" w:rsidR="000251A3" w:rsidRDefault="007D11B1"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Examine and evaluate the Texas </w:t>
      </w:r>
      <w:r w:rsidR="008F59D5">
        <w:rPr>
          <w:rFonts w:ascii="Times New Roman" w:eastAsia="Times New Roman" w:hAnsi="Times New Roman" w:cs="Times New Roman"/>
          <w:lang w:eastAsia="en-US"/>
        </w:rPr>
        <w:t>Youth Commission</w:t>
      </w:r>
      <w:r>
        <w:rPr>
          <w:rFonts w:ascii="Times New Roman" w:eastAsia="Times New Roman" w:hAnsi="Times New Roman" w:cs="Times New Roman"/>
          <w:lang w:eastAsia="en-US"/>
        </w:rPr>
        <w:t xml:space="preserve"> and other state correctional systems</w:t>
      </w:r>
      <w:r w:rsidR="00574B94">
        <w:rPr>
          <w:rFonts w:ascii="Times New Roman" w:eastAsia="Times New Roman" w:hAnsi="Times New Roman" w:cs="Times New Roman"/>
          <w:lang w:eastAsia="en-US"/>
        </w:rPr>
        <w:t>.</w:t>
      </w:r>
    </w:p>
    <w:p w14:paraId="4DC80477" w14:textId="0557E160"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w:t>
      </w:r>
      <w:r w:rsidR="002C5F5A">
        <w:rPr>
          <w:rFonts w:ascii="Times New Roman" w:eastAsia="Times New Roman" w:hAnsi="Times New Roman" w:cs="Times New Roman"/>
          <w:lang w:eastAsia="en-US"/>
        </w:rPr>
        <w:t>path</w:t>
      </w:r>
      <w:r w:rsidR="008F59D5">
        <w:rPr>
          <w:rFonts w:ascii="Times New Roman" w:eastAsia="Times New Roman" w:hAnsi="Times New Roman" w:cs="Times New Roman"/>
          <w:lang w:eastAsia="en-US"/>
        </w:rPr>
        <w:t xml:space="preserve"> an offender takes</w:t>
      </w:r>
      <w:r w:rsidR="002C5F5A">
        <w:rPr>
          <w:rFonts w:ascii="Times New Roman" w:eastAsia="Times New Roman" w:hAnsi="Times New Roman" w:cs="Times New Roman"/>
          <w:lang w:eastAsia="en-US"/>
        </w:rPr>
        <w:t xml:space="preserve"> through the </w:t>
      </w:r>
      <w:r w:rsidR="008F59D5">
        <w:rPr>
          <w:rFonts w:ascii="Times New Roman" w:eastAsia="Times New Roman" w:hAnsi="Times New Roman" w:cs="Times New Roman"/>
          <w:lang w:eastAsia="en-US"/>
        </w:rPr>
        <w:t>juvenile j</w:t>
      </w:r>
      <w:r w:rsidR="002C5F5A">
        <w:rPr>
          <w:rFonts w:ascii="Times New Roman" w:eastAsia="Times New Roman" w:hAnsi="Times New Roman" w:cs="Times New Roman"/>
          <w:lang w:eastAsia="en-US"/>
        </w:rPr>
        <w:t>ustice system</w:t>
      </w:r>
      <w:r>
        <w:rPr>
          <w:rFonts w:ascii="Times New Roman" w:eastAsia="Times New Roman" w:hAnsi="Times New Roman" w:cs="Times New Roman"/>
          <w:lang w:eastAsia="en-US"/>
        </w:rPr>
        <w:t>.</w:t>
      </w:r>
    </w:p>
    <w:p w14:paraId="0D6031F2" w14:textId="77777777" w:rsidR="000251A3" w:rsidRPr="00F62638" w:rsidRDefault="000251A3" w:rsidP="000251A3">
      <w:pPr>
        <w:rPr>
          <w:rFonts w:ascii="Times New Roman" w:hAnsi="Times New Roman" w:cs="Times New Roman"/>
        </w:rPr>
      </w:pPr>
    </w:p>
    <w:p w14:paraId="5EDAEA56"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0F5CD257"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6FE1910" w14:textId="77777777" w:rsidR="00E3558B" w:rsidRPr="004B1D52" w:rsidRDefault="00E3558B">
      <w:pPr>
        <w:rPr>
          <w:rFonts w:ascii="Times New Roman" w:hAnsi="Times New Roman" w:cs="Times New Roman"/>
        </w:rPr>
      </w:pPr>
    </w:p>
    <w:p w14:paraId="0D146344"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6230E345"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088BB76B" w14:textId="77777777" w:rsidR="001C6243" w:rsidRDefault="001C6243">
      <w:pPr>
        <w:rPr>
          <w:rFonts w:ascii="Times New Roman" w:hAnsi="Times New Roman" w:cs="Times New Roman"/>
        </w:rPr>
      </w:pPr>
    </w:p>
    <w:p w14:paraId="7308462E" w14:textId="77777777" w:rsidR="00664BDE"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1F794966" w14:textId="77777777" w:rsidR="006C1E37" w:rsidRDefault="006C1E37">
      <w:pPr>
        <w:rPr>
          <w:rFonts w:ascii="Times New Roman" w:hAnsi="Times New Roman" w:cs="Times New Roman"/>
          <w:b/>
        </w:rPr>
      </w:pPr>
    </w:p>
    <w:p w14:paraId="0B019D1C" w14:textId="5E8BA453" w:rsidR="006C1E37" w:rsidRPr="001D33E6" w:rsidRDefault="006C1E37">
      <w:pPr>
        <w:rPr>
          <w:rFonts w:ascii="Times New Roman" w:hAnsi="Times New Roman" w:cs="Times New Roman"/>
        </w:rPr>
      </w:pPr>
      <w:r>
        <w:rPr>
          <w:rFonts w:ascii="Times New Roman" w:hAnsi="Times New Roman" w:cs="Times New Roman"/>
        </w:rPr>
        <w:t xml:space="preserve">This course is a </w:t>
      </w:r>
      <w:proofErr w:type="gramStart"/>
      <w:r>
        <w:rPr>
          <w:rFonts w:ascii="Times New Roman" w:hAnsi="Times New Roman" w:cs="Times New Roman"/>
        </w:rPr>
        <w:t>5 week</w:t>
      </w:r>
      <w:proofErr w:type="gramEnd"/>
      <w:r>
        <w:rPr>
          <w:rFonts w:ascii="Times New Roman" w:hAnsi="Times New Roman" w:cs="Times New Roman"/>
        </w:rPr>
        <w:t xml:space="preserve">, </w:t>
      </w:r>
      <w:r w:rsidR="008F59D5">
        <w:rPr>
          <w:rFonts w:ascii="Times New Roman" w:hAnsi="Times New Roman" w:cs="Times New Roman"/>
        </w:rPr>
        <w:t>Independent Study</w:t>
      </w:r>
      <w:r>
        <w:rPr>
          <w:rFonts w:ascii="Times New Roman" w:hAnsi="Times New Roman" w:cs="Times New Roman"/>
        </w:rPr>
        <w:t xml:space="preserve"> format.  Each week will cover a different aspect of the </w:t>
      </w:r>
      <w:r w:rsidR="008F59D5">
        <w:rPr>
          <w:rFonts w:ascii="Times New Roman" w:hAnsi="Times New Roman" w:cs="Times New Roman"/>
        </w:rPr>
        <w:t>Juvenile</w:t>
      </w:r>
      <w:r>
        <w:rPr>
          <w:rFonts w:ascii="Times New Roman" w:hAnsi="Times New Roman" w:cs="Times New Roman"/>
        </w:rPr>
        <w:t xml:space="preserve"> Justice system.  All learning materials have been provided for the student through the Blackboard environment.  </w:t>
      </w:r>
      <w:r w:rsidRPr="006C1E37">
        <w:rPr>
          <w:rFonts w:ascii="Times New Roman" w:hAnsi="Times New Roman" w:cs="Times New Roman"/>
          <w:b/>
          <w:u w:val="single"/>
        </w:rPr>
        <w:t>Students are responsible for accessing the material and completing the required assignments</w:t>
      </w:r>
      <w:r>
        <w:rPr>
          <w:rFonts w:ascii="Times New Roman" w:hAnsi="Times New Roman" w:cs="Times New Roman"/>
        </w:rPr>
        <w:t xml:space="preserve"> on their own time.  </w:t>
      </w:r>
      <w:r w:rsidRPr="006C1E37">
        <w:rPr>
          <w:rFonts w:ascii="Times New Roman" w:hAnsi="Times New Roman" w:cs="Times New Roman"/>
          <w:i/>
          <w:u w:val="single"/>
        </w:rPr>
        <w:t>There are no designated lecture times.</w:t>
      </w:r>
      <w:r w:rsidRPr="006C1E37">
        <w:rPr>
          <w:rFonts w:ascii="Times New Roman" w:hAnsi="Times New Roman" w:cs="Times New Roman"/>
          <w:b/>
        </w:rPr>
        <w:t xml:space="preserve">  </w:t>
      </w:r>
      <w:r>
        <w:rPr>
          <w:rFonts w:ascii="Times New Roman" w:hAnsi="Times New Roman" w:cs="Times New Roman"/>
        </w:rPr>
        <w:t>The student will have the entire week (Monday-Sunday) to work thr</w:t>
      </w:r>
      <w:r w:rsidR="001D33E6">
        <w:rPr>
          <w:rFonts w:ascii="Times New Roman" w:hAnsi="Times New Roman" w:cs="Times New Roman"/>
        </w:rPr>
        <w:t xml:space="preserve">ough the material for each week, </w:t>
      </w:r>
      <w:proofErr w:type="gramStart"/>
      <w:r w:rsidR="001D33E6">
        <w:rPr>
          <w:rFonts w:ascii="Times New Roman" w:hAnsi="Times New Roman" w:cs="Times New Roman"/>
        </w:rPr>
        <w:t>with the exception of</w:t>
      </w:r>
      <w:proofErr w:type="gramEnd"/>
      <w:r w:rsidR="001D33E6">
        <w:rPr>
          <w:rFonts w:ascii="Times New Roman" w:hAnsi="Times New Roman" w:cs="Times New Roman"/>
        </w:rPr>
        <w:t xml:space="preserve"> last week, which will close on</w:t>
      </w:r>
      <w:r w:rsidR="006546E1">
        <w:rPr>
          <w:rFonts w:ascii="Times New Roman" w:hAnsi="Times New Roman" w:cs="Times New Roman"/>
        </w:rPr>
        <w:t xml:space="preserve"> </w:t>
      </w:r>
      <w:r w:rsidR="008F59D5">
        <w:rPr>
          <w:rFonts w:ascii="Times New Roman" w:hAnsi="Times New Roman" w:cs="Times New Roman"/>
        </w:rPr>
        <w:t>Thursday</w:t>
      </w:r>
      <w:r w:rsidR="006546E1">
        <w:rPr>
          <w:rFonts w:ascii="Times New Roman" w:hAnsi="Times New Roman" w:cs="Times New Roman"/>
        </w:rPr>
        <w:t xml:space="preserve">, July </w:t>
      </w:r>
      <w:r w:rsidR="008F59D5">
        <w:rPr>
          <w:rFonts w:ascii="Times New Roman" w:hAnsi="Times New Roman" w:cs="Times New Roman"/>
        </w:rPr>
        <w:t>8</w:t>
      </w:r>
      <w:r w:rsidR="001D33E6" w:rsidRPr="001D33E6">
        <w:rPr>
          <w:rFonts w:ascii="Times New Roman" w:hAnsi="Times New Roman" w:cs="Times New Roman"/>
          <w:vertAlign w:val="superscript"/>
        </w:rPr>
        <w:t>th</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be completed and submitted by the time for credit.</w:t>
      </w:r>
      <w:r w:rsidR="001D33E6">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Due to the amount of material being presented in such a short time frame, falling behind in reading or </w:t>
      </w:r>
      <w:r w:rsidR="000035BD">
        <w:rPr>
          <w:rFonts w:ascii="Times New Roman" w:hAnsi="Times New Roman" w:cs="Times New Roman"/>
        </w:rPr>
        <w:t>coursework will likely make it difficult for the student to complete all required assignments on time.</w:t>
      </w:r>
    </w:p>
    <w:p w14:paraId="57F4E07C" w14:textId="77777777" w:rsidR="00664BDE" w:rsidRDefault="00664BDE">
      <w:pPr>
        <w:rPr>
          <w:rFonts w:ascii="Times New Roman" w:hAnsi="Times New Roman" w:cs="Times New Roman"/>
          <w:b/>
        </w:rPr>
      </w:pPr>
    </w:p>
    <w:p w14:paraId="6854E06B"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1B324DE1"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73E25E84"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14:paraId="0429E371" w14:textId="77777777" w:rsidTr="00FB28FF">
        <w:trPr>
          <w:trHeight w:val="384"/>
        </w:trPr>
        <w:tc>
          <w:tcPr>
            <w:tcW w:w="5555" w:type="dxa"/>
            <w:tcBorders>
              <w:top w:val="single" w:sz="12" w:space="0" w:color="000000"/>
              <w:left w:val="nil"/>
              <w:bottom w:val="single" w:sz="12" w:space="0" w:color="000000"/>
              <w:right w:val="nil"/>
            </w:tcBorders>
            <w:hideMark/>
          </w:tcPr>
          <w:p w14:paraId="4E50ED7B"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11B36785"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2A971902"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01A72458"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1D482C9A" w14:textId="77777777" w:rsidTr="008F59D5">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5607249E"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6B149A12" w14:textId="0B23E88A"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06788DF" w14:textId="678241D1"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6EFA8EE0" w14:textId="7B9CA20A"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4D634E45" w14:textId="77777777" w:rsidTr="00FB28FF">
        <w:tc>
          <w:tcPr>
            <w:tcW w:w="5555" w:type="dxa"/>
            <w:tcBorders>
              <w:top w:val="single" w:sz="4" w:space="0" w:color="auto"/>
              <w:left w:val="nil"/>
              <w:bottom w:val="single" w:sz="2" w:space="0" w:color="000000"/>
              <w:right w:val="single" w:sz="2" w:space="0" w:color="000000"/>
            </w:tcBorders>
          </w:tcPr>
          <w:p w14:paraId="74E3C1EB"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60935A7E"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10037303"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6F5FE865"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4F95181E"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5BE9656"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2B9A6950" w14:textId="2E2BF5D2" w:rsidR="000D0659" w:rsidRPr="001C6243" w:rsidRDefault="008F59D5"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4</w:t>
            </w: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5DC6F681"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34EBA7E7" w14:textId="77777777" w:rsidR="000D0659" w:rsidRPr="001C6243" w:rsidRDefault="000035BD"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FB28FF" w:rsidRPr="004B1D52" w14:paraId="0F899930" w14:textId="77777777" w:rsidTr="00FB28FF">
        <w:tc>
          <w:tcPr>
            <w:tcW w:w="5555" w:type="dxa"/>
            <w:tcBorders>
              <w:top w:val="single" w:sz="12" w:space="0" w:color="auto"/>
              <w:left w:val="nil"/>
              <w:bottom w:val="single" w:sz="12" w:space="0" w:color="auto"/>
              <w:right w:val="single" w:sz="2" w:space="0" w:color="000000"/>
            </w:tcBorders>
          </w:tcPr>
          <w:p w14:paraId="5FFBDA53"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5BF37C97"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26FF8FEA"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3540BC6E"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2CC67605" w14:textId="77777777" w:rsidR="00FB28FF" w:rsidRDefault="00FB28FF" w:rsidP="00A33282">
      <w:pPr>
        <w:widowControl w:val="0"/>
        <w:rPr>
          <w:rFonts w:ascii="Times New Roman" w:hAnsi="Times New Roman" w:cs="Times New Roman"/>
        </w:rPr>
      </w:pPr>
    </w:p>
    <w:p w14:paraId="54AA5E67"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26F4854A"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773C6F" w14:paraId="24E91381" w14:textId="77777777" w:rsidTr="000035BD">
        <w:trPr>
          <w:trHeight w:val="757"/>
          <w:jc w:val="center"/>
        </w:trPr>
        <w:tc>
          <w:tcPr>
            <w:tcW w:w="2070" w:type="dxa"/>
          </w:tcPr>
          <w:p w14:paraId="0DAA22A1"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52FF3D8C"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5336331A" w14:textId="77777777" w:rsidTr="000035BD">
        <w:trPr>
          <w:trHeight w:val="399"/>
          <w:jc w:val="center"/>
        </w:trPr>
        <w:tc>
          <w:tcPr>
            <w:tcW w:w="2070" w:type="dxa"/>
            <w:shd w:val="clear" w:color="auto" w:fill="BFBFBF" w:themeFill="background1" w:themeFillShade="BF"/>
          </w:tcPr>
          <w:p w14:paraId="1C9E0811"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75A84399"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A</w:t>
            </w:r>
          </w:p>
        </w:tc>
      </w:tr>
      <w:tr w:rsidR="000D0659" w14:paraId="5D911590" w14:textId="77777777" w:rsidTr="000035BD">
        <w:trPr>
          <w:trHeight w:val="379"/>
          <w:jc w:val="center"/>
        </w:trPr>
        <w:tc>
          <w:tcPr>
            <w:tcW w:w="2070" w:type="dxa"/>
          </w:tcPr>
          <w:p w14:paraId="61534349"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101" w:type="dxa"/>
          </w:tcPr>
          <w:p w14:paraId="5249355D"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B</w:t>
            </w:r>
          </w:p>
        </w:tc>
      </w:tr>
      <w:tr w:rsidR="00773C6F" w14:paraId="1DB52E55" w14:textId="77777777" w:rsidTr="000035BD">
        <w:trPr>
          <w:trHeight w:val="379"/>
          <w:jc w:val="center"/>
        </w:trPr>
        <w:tc>
          <w:tcPr>
            <w:tcW w:w="2070" w:type="dxa"/>
            <w:shd w:val="clear" w:color="auto" w:fill="BFBFBF" w:themeFill="background1" w:themeFillShade="BF"/>
          </w:tcPr>
          <w:p w14:paraId="21F51AEB"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lastRenderedPageBreak/>
              <w:t>700-799</w:t>
            </w:r>
          </w:p>
        </w:tc>
        <w:tc>
          <w:tcPr>
            <w:tcW w:w="1101" w:type="dxa"/>
            <w:shd w:val="clear" w:color="auto" w:fill="BFBFBF" w:themeFill="background1" w:themeFillShade="BF"/>
          </w:tcPr>
          <w:p w14:paraId="53166889" w14:textId="77777777" w:rsidR="00773C6F"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C</w:t>
            </w:r>
          </w:p>
        </w:tc>
      </w:tr>
      <w:tr w:rsidR="000D0659" w14:paraId="5E94A86B" w14:textId="77777777" w:rsidTr="000035BD">
        <w:trPr>
          <w:trHeight w:val="379"/>
          <w:jc w:val="center"/>
        </w:trPr>
        <w:tc>
          <w:tcPr>
            <w:tcW w:w="2070" w:type="dxa"/>
          </w:tcPr>
          <w:p w14:paraId="4ABF2F32"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23827379"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D</w:t>
            </w:r>
          </w:p>
        </w:tc>
      </w:tr>
      <w:tr w:rsidR="000D0659" w14:paraId="7C7A2235" w14:textId="77777777" w:rsidTr="000035BD">
        <w:trPr>
          <w:trHeight w:val="49"/>
          <w:jc w:val="center"/>
        </w:trPr>
        <w:tc>
          <w:tcPr>
            <w:tcW w:w="2070" w:type="dxa"/>
            <w:shd w:val="clear" w:color="auto" w:fill="BFBFBF" w:themeFill="background1" w:themeFillShade="BF"/>
          </w:tcPr>
          <w:p w14:paraId="080E0B4F"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1DD48189"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F</w:t>
            </w:r>
          </w:p>
        </w:tc>
      </w:tr>
    </w:tbl>
    <w:p w14:paraId="747F495B"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522E1CDF" w14:textId="77777777" w:rsidR="000035BD" w:rsidRDefault="000035BD">
      <w:pPr>
        <w:rPr>
          <w:rFonts w:ascii="Times New Roman" w:hAnsi="Times New Roman" w:cs="Times New Roman"/>
          <w:b/>
        </w:rPr>
      </w:pPr>
    </w:p>
    <w:p w14:paraId="4E1677BE" w14:textId="77777777" w:rsidR="006546E1" w:rsidRDefault="006546E1">
      <w:pPr>
        <w:rPr>
          <w:rFonts w:ascii="Times New Roman" w:hAnsi="Times New Roman" w:cs="Times New Roman"/>
          <w:b/>
        </w:rPr>
      </w:pPr>
    </w:p>
    <w:p w14:paraId="4EFCA0F8"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4CB827FA" w14:textId="77777777" w:rsidR="003525B9" w:rsidRDefault="003525B9">
      <w:pPr>
        <w:rPr>
          <w:rFonts w:ascii="Times New Roman" w:hAnsi="Times New Roman" w:cs="Times New Roman"/>
          <w:b/>
        </w:rPr>
      </w:pPr>
    </w:p>
    <w:p w14:paraId="1C6C3BBF" w14:textId="5C3D0F71" w:rsidR="0083518D" w:rsidRDefault="00B4759F" w:rsidP="003805C9">
      <w:pPr>
        <w:tabs>
          <w:tab w:val="left" w:pos="360"/>
          <w:tab w:val="left" w:pos="2880"/>
        </w:tabs>
        <w:rPr>
          <w:rFonts w:ascii="Times New Roman" w:hAnsi="Times New Roman"/>
          <w:bCs/>
        </w:rPr>
      </w:pPr>
      <w:r>
        <w:rPr>
          <w:rFonts w:ascii="Times New Roman" w:hAnsi="Times New Roman" w:cs="Times New Roman"/>
          <w:b/>
        </w:rPr>
        <w:tab/>
      </w:r>
      <w:r w:rsidR="0079734B" w:rsidRPr="004B1D52">
        <w:rPr>
          <w:rFonts w:ascii="Times New Roman" w:hAnsi="Times New Roman"/>
          <w:bCs/>
        </w:rPr>
        <w:t xml:space="preserve">This course </w:t>
      </w:r>
      <w:r w:rsidR="003805C9">
        <w:rPr>
          <w:rFonts w:ascii="Times New Roman" w:hAnsi="Times New Roman"/>
          <w:bCs/>
        </w:rPr>
        <w:t>will have no exams.  The course assignments will serve as the only grades for this course.</w:t>
      </w:r>
    </w:p>
    <w:p w14:paraId="2D8636DF" w14:textId="10F3D42B" w:rsidR="003805C9" w:rsidRDefault="003805C9" w:rsidP="003805C9">
      <w:pPr>
        <w:tabs>
          <w:tab w:val="left" w:pos="360"/>
          <w:tab w:val="left" w:pos="2880"/>
        </w:tabs>
        <w:rPr>
          <w:rFonts w:ascii="Times New Roman" w:hAnsi="Times New Roman"/>
          <w:bCs/>
        </w:rPr>
      </w:pPr>
    </w:p>
    <w:p w14:paraId="751F3036" w14:textId="4B75CB19" w:rsidR="003805C9" w:rsidRDefault="003805C9" w:rsidP="003805C9">
      <w:pPr>
        <w:tabs>
          <w:tab w:val="left" w:pos="360"/>
          <w:tab w:val="left" w:pos="2880"/>
        </w:tabs>
        <w:rPr>
          <w:rFonts w:ascii="Times New Roman" w:hAnsi="Times New Roman"/>
          <w:bCs/>
        </w:rPr>
      </w:pPr>
      <w:r>
        <w:rPr>
          <w:rFonts w:ascii="Times New Roman" w:hAnsi="Times New Roman" w:cs="Times New Roman"/>
          <w:b/>
        </w:rPr>
        <w:t>Assignments</w:t>
      </w:r>
    </w:p>
    <w:p w14:paraId="7F3CDA36" w14:textId="77777777" w:rsidR="00493127" w:rsidRPr="004B1D52" w:rsidRDefault="00493127" w:rsidP="00493127">
      <w:pPr>
        <w:pStyle w:val="Heading2"/>
        <w:ind w:left="360"/>
        <w:rPr>
          <w:rFonts w:ascii="Times New Roman" w:hAnsi="Times New Roman"/>
        </w:rPr>
      </w:pPr>
      <w:r>
        <w:rPr>
          <w:rFonts w:ascii="Times New Roman" w:hAnsi="Times New Roman"/>
        </w:rPr>
        <w:t>Written Assignment</w:t>
      </w:r>
      <w:r w:rsidRPr="004B1D52">
        <w:rPr>
          <w:rFonts w:ascii="Times New Roman" w:hAnsi="Times New Roman"/>
        </w:rPr>
        <w:t>:</w:t>
      </w:r>
    </w:p>
    <w:p w14:paraId="5C8C42ED" w14:textId="2E38F174" w:rsidR="00493127" w:rsidRPr="003805C9" w:rsidRDefault="003805C9" w:rsidP="00493127">
      <w:pPr>
        <w:pStyle w:val="BodyTextIndent"/>
        <w:tabs>
          <w:tab w:val="left" w:pos="720"/>
          <w:tab w:val="center" w:pos="5400"/>
        </w:tabs>
        <w:rPr>
          <w:rFonts w:ascii="Times New Roman" w:hAnsi="Times New Roman"/>
          <w:sz w:val="24"/>
          <w:szCs w:val="24"/>
        </w:rPr>
      </w:pPr>
      <w:r w:rsidRPr="003805C9">
        <w:rPr>
          <w:rFonts w:ascii="Times New Roman" w:hAnsi="Times New Roman"/>
          <w:sz w:val="24"/>
          <w:szCs w:val="24"/>
        </w:rPr>
        <w:t>Each of the four assignments must be submitted in a written format consistent with college level work.  Assignments should be no longer than 1-2 doubled spaced type-written pages.</w:t>
      </w:r>
      <w:r>
        <w:rPr>
          <w:rFonts w:ascii="Times New Roman" w:hAnsi="Times New Roman"/>
          <w:sz w:val="24"/>
          <w:szCs w:val="24"/>
        </w:rPr>
        <w:t xml:space="preserve">  Any outside sources used in responding to the various writing prompts should be cited in APA format.</w:t>
      </w:r>
    </w:p>
    <w:p w14:paraId="0BF05AF0" w14:textId="77777777" w:rsidR="00493127" w:rsidRDefault="00493127">
      <w:pPr>
        <w:rPr>
          <w:rFonts w:ascii="Times New Roman" w:hAnsi="Times New Roman" w:cs="Times New Roman"/>
          <w:b/>
        </w:rPr>
      </w:pPr>
    </w:p>
    <w:p w14:paraId="2B5B5A26"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w:t>
      </w:r>
      <w:proofErr w:type="gramStart"/>
      <w:r w:rsidRPr="00A85154">
        <w:rPr>
          <w:rFonts w:ascii="Times New Roman" w:hAnsi="Times New Roman"/>
          <w:bCs/>
          <w:sz w:val="24"/>
          <w:szCs w:val="24"/>
          <w:u w:val="single"/>
        </w:rPr>
        <w:t>in order to</w:t>
      </w:r>
      <w:proofErr w:type="gramEnd"/>
      <w:r w:rsidRPr="00A85154">
        <w:rPr>
          <w:rFonts w:ascii="Times New Roman" w:hAnsi="Times New Roman"/>
          <w:bCs/>
          <w:sz w:val="24"/>
          <w:szCs w:val="24"/>
          <w:u w:val="single"/>
        </w:rPr>
        <w:t xml:space="preserve"> best prepare the student with the above stated learning outcomes.  </w:t>
      </w:r>
    </w:p>
    <w:p w14:paraId="6A9E21C5" w14:textId="77777777" w:rsidR="003E542F" w:rsidRPr="004B1D52" w:rsidRDefault="003E542F">
      <w:pPr>
        <w:rPr>
          <w:rFonts w:ascii="Times New Roman" w:hAnsi="Times New Roman" w:cs="Times New Roman"/>
        </w:rPr>
      </w:pPr>
    </w:p>
    <w:p w14:paraId="4F8264B9"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585EE519" w14:textId="77777777" w:rsidR="00DD1736" w:rsidRPr="004B1D52" w:rsidRDefault="00DD1736" w:rsidP="003E542F">
      <w:pPr>
        <w:rPr>
          <w:rFonts w:ascii="Times New Roman" w:hAnsi="Times New Roman" w:cs="Times New Roman"/>
          <w:b/>
        </w:rPr>
      </w:pPr>
    </w:p>
    <w:p w14:paraId="4B87CC65"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2C750F">
        <w:rPr>
          <w:rFonts w:ascii="Times New Roman" w:hAnsi="Times New Roman" w:cs="Times New Roman"/>
        </w:rPr>
        <w:t>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33B91024" w14:textId="77777777" w:rsidR="00A812E0" w:rsidRDefault="00A812E0" w:rsidP="004B1D52">
      <w:pPr>
        <w:ind w:left="360"/>
        <w:rPr>
          <w:rFonts w:ascii="Times New Roman" w:hAnsi="Times New Roman" w:cs="Times New Roman"/>
        </w:rPr>
      </w:pPr>
    </w:p>
    <w:p w14:paraId="5DACF990" w14:textId="5034A79E"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proofErr w:type="spellStart"/>
      <w:r w:rsidR="00ED5EAD">
        <w:rPr>
          <w:rFonts w:ascii="Times New Roman" w:hAnsi="Times New Roman" w:cs="Times New Roman"/>
          <w:b/>
        </w:rPr>
        <w:t>Wednesady</w:t>
      </w:r>
      <w:proofErr w:type="spellEnd"/>
      <w:r w:rsidR="002C750F">
        <w:rPr>
          <w:rFonts w:ascii="Times New Roman" w:hAnsi="Times New Roman" w:cs="Times New Roman"/>
          <w:b/>
        </w:rPr>
        <w:t xml:space="preserve">, </w:t>
      </w:r>
      <w:r w:rsidR="003805C9">
        <w:rPr>
          <w:rFonts w:ascii="Times New Roman" w:hAnsi="Times New Roman" w:cs="Times New Roman"/>
          <w:b/>
        </w:rPr>
        <w:t>June 30</w:t>
      </w:r>
      <w:r w:rsidR="006546E1">
        <w:rPr>
          <w:rFonts w:ascii="Times New Roman" w:hAnsi="Times New Roman" w:cs="Times New Roman"/>
          <w:b/>
        </w:rPr>
        <w:t>, 20</w:t>
      </w:r>
      <w:r w:rsidR="00ED5EAD">
        <w:rPr>
          <w:rFonts w:ascii="Times New Roman" w:hAnsi="Times New Roman" w:cs="Times New Roman"/>
          <w:b/>
        </w:rPr>
        <w:t>20</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4FEEE3E6" w14:textId="77777777" w:rsidR="00DD1736" w:rsidRPr="004B1D52" w:rsidRDefault="00DD1736" w:rsidP="00DD1736">
      <w:pPr>
        <w:widowControl w:val="0"/>
        <w:rPr>
          <w:rFonts w:ascii="Times New Roman" w:hAnsi="Times New Roman" w:cs="Times New Roman"/>
          <w:i/>
        </w:rPr>
      </w:pPr>
    </w:p>
    <w:p w14:paraId="1AA9DF8D"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01F1D468" w14:textId="77777777" w:rsidR="00DD1736" w:rsidRPr="004B1D52" w:rsidRDefault="00DD1736" w:rsidP="00DD1736">
      <w:pPr>
        <w:widowControl w:val="0"/>
        <w:rPr>
          <w:rFonts w:ascii="Times New Roman" w:hAnsi="Times New Roman" w:cs="Times New Roman"/>
        </w:rPr>
      </w:pPr>
    </w:p>
    <w:p w14:paraId="356E456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268DC3A" w14:textId="77777777" w:rsidR="00DE1543" w:rsidRDefault="00DE1543" w:rsidP="004B1D52">
      <w:pPr>
        <w:ind w:left="360"/>
        <w:rPr>
          <w:rFonts w:ascii="Times New Roman" w:hAnsi="Times New Roman" w:cs="Times New Roman"/>
        </w:rPr>
      </w:pPr>
    </w:p>
    <w:p w14:paraId="6BD5982D"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7C3BE0E4" w14:textId="77777777" w:rsidR="001D4CD5" w:rsidRPr="004B1D52" w:rsidRDefault="001D4CD5" w:rsidP="001D4CD5">
      <w:pPr>
        <w:pStyle w:val="PlainText"/>
        <w:rPr>
          <w:rFonts w:ascii="Times New Roman" w:hAnsi="Times New Roman"/>
          <w:b/>
        </w:rPr>
      </w:pPr>
    </w:p>
    <w:p w14:paraId="202F966C" w14:textId="77777777" w:rsidR="001D4CD5" w:rsidRPr="004B1D52" w:rsidRDefault="001D4CD5" w:rsidP="001D4CD5">
      <w:pPr>
        <w:pStyle w:val="Footer"/>
        <w:rPr>
          <w:b/>
          <w:bCs/>
          <w:szCs w:val="20"/>
        </w:rPr>
      </w:pPr>
      <w:r w:rsidRPr="004B1D52">
        <w:rPr>
          <w:b/>
          <w:bCs/>
          <w:szCs w:val="20"/>
        </w:rPr>
        <w:t>Academic Ethics</w:t>
      </w:r>
    </w:p>
    <w:p w14:paraId="5CAA6FFE" w14:textId="77777777" w:rsidR="00DE1543" w:rsidRDefault="00DE1543" w:rsidP="004B1D52">
      <w:pPr>
        <w:ind w:left="360"/>
        <w:rPr>
          <w:rFonts w:ascii="Times New Roman" w:hAnsi="Times New Roman" w:cs="Times New Roman"/>
        </w:rPr>
      </w:pPr>
    </w:p>
    <w:p w14:paraId="11975D69"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lastRenderedPageBreak/>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6E73B77" w14:textId="77777777" w:rsidR="0024549D" w:rsidRPr="004B1D52" w:rsidRDefault="0024549D" w:rsidP="00C35A15">
      <w:pPr>
        <w:rPr>
          <w:rFonts w:ascii="Times New Roman" w:hAnsi="Times New Roman" w:cs="Times New Roman"/>
        </w:rPr>
      </w:pPr>
    </w:p>
    <w:p w14:paraId="1FE13885"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1E421C90" w14:textId="77777777" w:rsidR="00DE1543" w:rsidRDefault="00DE1543" w:rsidP="004B1D52">
      <w:pPr>
        <w:ind w:left="360"/>
        <w:rPr>
          <w:rFonts w:ascii="Times New Roman" w:hAnsi="Times New Roman" w:cs="Times New Roman"/>
          <w:szCs w:val="32"/>
        </w:rPr>
      </w:pPr>
    </w:p>
    <w:p w14:paraId="694E7669"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2217988" w14:textId="77777777" w:rsidR="0024549D" w:rsidRPr="004B1D52" w:rsidRDefault="0024549D" w:rsidP="00C35A15">
      <w:pPr>
        <w:rPr>
          <w:rFonts w:ascii="Times New Roman" w:hAnsi="Times New Roman" w:cs="Times New Roman"/>
          <w:color w:val="313131"/>
          <w:szCs w:val="32"/>
        </w:rPr>
      </w:pPr>
    </w:p>
    <w:p w14:paraId="594012A6" w14:textId="77777777" w:rsidR="00A812E0" w:rsidRDefault="00A812E0" w:rsidP="004B1D52">
      <w:pPr>
        <w:rPr>
          <w:rFonts w:ascii="Times New Roman" w:hAnsi="Times New Roman" w:cs="Times New Roman"/>
          <w:b/>
          <w:bCs/>
        </w:rPr>
      </w:pPr>
    </w:p>
    <w:p w14:paraId="0A1845A6"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6034A587" w14:textId="77777777" w:rsidR="00DE1543" w:rsidRDefault="00DE1543" w:rsidP="00CB6438">
      <w:pPr>
        <w:ind w:left="360"/>
        <w:rPr>
          <w:rFonts w:ascii="Times New Roman" w:hAnsi="Times New Roman" w:cs="Times New Roman"/>
          <w:bCs/>
        </w:rPr>
      </w:pPr>
    </w:p>
    <w:p w14:paraId="5EBF1D09"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BC"/>
    <w:rsid w:val="000035BD"/>
    <w:rsid w:val="0000769D"/>
    <w:rsid w:val="00012EC7"/>
    <w:rsid w:val="00016417"/>
    <w:rsid w:val="000251A3"/>
    <w:rsid w:val="00025622"/>
    <w:rsid w:val="000267E8"/>
    <w:rsid w:val="000618CE"/>
    <w:rsid w:val="00062541"/>
    <w:rsid w:val="00064EDC"/>
    <w:rsid w:val="000858AC"/>
    <w:rsid w:val="000B2B8B"/>
    <w:rsid w:val="000C03CB"/>
    <w:rsid w:val="000D0659"/>
    <w:rsid w:val="000D763D"/>
    <w:rsid w:val="000E005E"/>
    <w:rsid w:val="000E39A7"/>
    <w:rsid w:val="00101CF1"/>
    <w:rsid w:val="00121692"/>
    <w:rsid w:val="00140E69"/>
    <w:rsid w:val="001410A3"/>
    <w:rsid w:val="00151D85"/>
    <w:rsid w:val="00182E7E"/>
    <w:rsid w:val="001A7DDD"/>
    <w:rsid w:val="001B1D1F"/>
    <w:rsid w:val="001C0F44"/>
    <w:rsid w:val="001C6243"/>
    <w:rsid w:val="001D01ED"/>
    <w:rsid w:val="001D33E6"/>
    <w:rsid w:val="001D4CD5"/>
    <w:rsid w:val="001E1926"/>
    <w:rsid w:val="001E560F"/>
    <w:rsid w:val="001F6CEA"/>
    <w:rsid w:val="00224024"/>
    <w:rsid w:val="00235C05"/>
    <w:rsid w:val="0024549D"/>
    <w:rsid w:val="00246828"/>
    <w:rsid w:val="002478E8"/>
    <w:rsid w:val="002530ED"/>
    <w:rsid w:val="002647F0"/>
    <w:rsid w:val="00273775"/>
    <w:rsid w:val="002B3C6D"/>
    <w:rsid w:val="002C33E7"/>
    <w:rsid w:val="002C5F5A"/>
    <w:rsid w:val="002C750F"/>
    <w:rsid w:val="002D56F3"/>
    <w:rsid w:val="002E25C2"/>
    <w:rsid w:val="002E4DC5"/>
    <w:rsid w:val="002F5D4B"/>
    <w:rsid w:val="003120CF"/>
    <w:rsid w:val="00315932"/>
    <w:rsid w:val="00317022"/>
    <w:rsid w:val="00317416"/>
    <w:rsid w:val="00340482"/>
    <w:rsid w:val="003525B9"/>
    <w:rsid w:val="00373510"/>
    <w:rsid w:val="00377901"/>
    <w:rsid w:val="003805C9"/>
    <w:rsid w:val="00384F70"/>
    <w:rsid w:val="003B2201"/>
    <w:rsid w:val="003E1E8C"/>
    <w:rsid w:val="003E542F"/>
    <w:rsid w:val="003F3B9F"/>
    <w:rsid w:val="00400128"/>
    <w:rsid w:val="00407E22"/>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3DA0"/>
    <w:rsid w:val="00574B94"/>
    <w:rsid w:val="005903E4"/>
    <w:rsid w:val="005A2A25"/>
    <w:rsid w:val="005C5864"/>
    <w:rsid w:val="005D1D9C"/>
    <w:rsid w:val="005D5F33"/>
    <w:rsid w:val="005E5BAA"/>
    <w:rsid w:val="00604565"/>
    <w:rsid w:val="006067A3"/>
    <w:rsid w:val="00615F41"/>
    <w:rsid w:val="00626B63"/>
    <w:rsid w:val="00626BE7"/>
    <w:rsid w:val="00631EA6"/>
    <w:rsid w:val="006321A9"/>
    <w:rsid w:val="00635840"/>
    <w:rsid w:val="00652AFE"/>
    <w:rsid w:val="006546E1"/>
    <w:rsid w:val="00664BDE"/>
    <w:rsid w:val="00665695"/>
    <w:rsid w:val="006B5522"/>
    <w:rsid w:val="006C1E37"/>
    <w:rsid w:val="006D0524"/>
    <w:rsid w:val="006D7AAA"/>
    <w:rsid w:val="006F2698"/>
    <w:rsid w:val="006F7D63"/>
    <w:rsid w:val="00700ABA"/>
    <w:rsid w:val="007266E9"/>
    <w:rsid w:val="00731E2D"/>
    <w:rsid w:val="00760125"/>
    <w:rsid w:val="0076613A"/>
    <w:rsid w:val="00773C6F"/>
    <w:rsid w:val="00780DCD"/>
    <w:rsid w:val="00790F7B"/>
    <w:rsid w:val="00794A59"/>
    <w:rsid w:val="0079734B"/>
    <w:rsid w:val="007C73BC"/>
    <w:rsid w:val="007D0069"/>
    <w:rsid w:val="007D11B1"/>
    <w:rsid w:val="007D3FB2"/>
    <w:rsid w:val="007D4459"/>
    <w:rsid w:val="007F0F69"/>
    <w:rsid w:val="007F350E"/>
    <w:rsid w:val="007F7A66"/>
    <w:rsid w:val="00802190"/>
    <w:rsid w:val="00807926"/>
    <w:rsid w:val="0081170B"/>
    <w:rsid w:val="00815441"/>
    <w:rsid w:val="00816FF8"/>
    <w:rsid w:val="00826D5F"/>
    <w:rsid w:val="00834329"/>
    <w:rsid w:val="0083518D"/>
    <w:rsid w:val="008631F4"/>
    <w:rsid w:val="008672ED"/>
    <w:rsid w:val="00880209"/>
    <w:rsid w:val="008869BF"/>
    <w:rsid w:val="0089594A"/>
    <w:rsid w:val="008B3E0F"/>
    <w:rsid w:val="008B6024"/>
    <w:rsid w:val="008F59D5"/>
    <w:rsid w:val="008F66E9"/>
    <w:rsid w:val="00900409"/>
    <w:rsid w:val="00916DCE"/>
    <w:rsid w:val="0095179D"/>
    <w:rsid w:val="009879A0"/>
    <w:rsid w:val="009C793D"/>
    <w:rsid w:val="009D5DF1"/>
    <w:rsid w:val="009D619C"/>
    <w:rsid w:val="009D6398"/>
    <w:rsid w:val="009F7D12"/>
    <w:rsid w:val="00A17B59"/>
    <w:rsid w:val="00A33282"/>
    <w:rsid w:val="00A36742"/>
    <w:rsid w:val="00A62E44"/>
    <w:rsid w:val="00A65ACB"/>
    <w:rsid w:val="00A7754E"/>
    <w:rsid w:val="00A812E0"/>
    <w:rsid w:val="00A85154"/>
    <w:rsid w:val="00AB114B"/>
    <w:rsid w:val="00B177AC"/>
    <w:rsid w:val="00B46EA7"/>
    <w:rsid w:val="00B4759F"/>
    <w:rsid w:val="00B6391E"/>
    <w:rsid w:val="00B65BDE"/>
    <w:rsid w:val="00B93D1F"/>
    <w:rsid w:val="00BA364E"/>
    <w:rsid w:val="00BD04B7"/>
    <w:rsid w:val="00C35A15"/>
    <w:rsid w:val="00C61171"/>
    <w:rsid w:val="00C64451"/>
    <w:rsid w:val="00C7531A"/>
    <w:rsid w:val="00C77113"/>
    <w:rsid w:val="00C8368F"/>
    <w:rsid w:val="00CA036B"/>
    <w:rsid w:val="00CB5875"/>
    <w:rsid w:val="00CB6438"/>
    <w:rsid w:val="00CE090F"/>
    <w:rsid w:val="00CE47CB"/>
    <w:rsid w:val="00CE5BE3"/>
    <w:rsid w:val="00CF560E"/>
    <w:rsid w:val="00D12357"/>
    <w:rsid w:val="00D218E3"/>
    <w:rsid w:val="00D221A5"/>
    <w:rsid w:val="00D246EB"/>
    <w:rsid w:val="00D3761E"/>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C0381"/>
    <w:rsid w:val="00EC53D7"/>
    <w:rsid w:val="00ED3DB8"/>
    <w:rsid w:val="00ED5C61"/>
    <w:rsid w:val="00ED5EAD"/>
    <w:rsid w:val="00ED6355"/>
    <w:rsid w:val="00EF1F54"/>
    <w:rsid w:val="00F02844"/>
    <w:rsid w:val="00F45421"/>
    <w:rsid w:val="00F45597"/>
    <w:rsid w:val="00F52C18"/>
    <w:rsid w:val="00F62638"/>
    <w:rsid w:val="00F7490D"/>
    <w:rsid w:val="00F9074C"/>
    <w:rsid w:val="00FA22F6"/>
    <w:rsid w:val="00FA401D"/>
    <w:rsid w:val="00FA4613"/>
    <w:rsid w:val="00FB28FF"/>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1912153"/>
  <w15:docId w15:val="{5F96919E-AD65-4D5E-AD87-A8110B6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175E-270A-4F8C-8CB7-218199BF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2017-05-17T15:34:00Z</cp:lastPrinted>
  <dcterms:created xsi:type="dcterms:W3CDTF">2021-06-06T17:45:00Z</dcterms:created>
  <dcterms:modified xsi:type="dcterms:W3CDTF">2021-06-06T17:45:00Z</dcterms:modified>
</cp:coreProperties>
</file>