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trPr>
          <w:trHeight w:val="549"/>
        </w:trPr>
        <w:tc>
          <w:tcPr>
            <w:tcW w:w="1800" w:type="dxa"/>
            <w:vMerge w:val="restart"/>
          </w:tcPr>
          <w:p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w:t>
            </w:r>
            <w:r w:rsidR="002254DA">
              <w:rPr>
                <w:rFonts w:ascii="Times New Roman" w:hAnsi="Times New Roman" w:cs="Times New Roman"/>
                <w:b/>
                <w:sz w:val="32"/>
              </w:rPr>
              <w:t>23</w:t>
            </w:r>
            <w:r w:rsidR="00626BE7" w:rsidRPr="004B1D52">
              <w:rPr>
                <w:rFonts w:ascii="Times New Roman" w:hAnsi="Times New Roman" w:cs="Times New Roman"/>
                <w:b/>
                <w:sz w:val="32"/>
              </w:rPr>
              <w:t xml:space="preserve"> – </w:t>
            </w:r>
            <w:r w:rsidR="002254DA">
              <w:rPr>
                <w:rFonts w:ascii="Times New Roman" w:hAnsi="Times New Roman" w:cs="Times New Roman"/>
                <w:b/>
                <w:sz w:val="32"/>
              </w:rPr>
              <w:t>Legal Aspects of Law Enforcement</w:t>
            </w:r>
            <w:r w:rsidR="00D52288" w:rsidRPr="004B1D52">
              <w:rPr>
                <w:rFonts w:ascii="Times New Roman" w:hAnsi="Times New Roman" w:cs="Times New Roman"/>
                <w:b/>
                <w:sz w:val="32"/>
              </w:rPr>
              <w:t xml:space="preserve"> </w:t>
            </w:r>
          </w:p>
          <w:p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1C1F60">
              <w:rPr>
                <w:rFonts w:ascii="Times New Roman" w:hAnsi="Times New Roman" w:cs="Times New Roman"/>
              </w:rPr>
              <w:t>Spring 2022</w:t>
            </w:r>
            <w:bookmarkStart w:id="0" w:name="_GoBack"/>
            <w:bookmarkEnd w:id="0"/>
          </w:p>
          <w:p w:rsidR="00D52288" w:rsidRPr="004B1D52" w:rsidRDefault="001C1F60" w:rsidP="00E114BC">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trPr>
          <w:trHeight w:val="960"/>
        </w:trPr>
        <w:tc>
          <w:tcPr>
            <w:tcW w:w="1800" w:type="dxa"/>
            <w:vMerge/>
          </w:tcPr>
          <w:p w:rsidR="00D52288" w:rsidRPr="004B1D52" w:rsidRDefault="00D52288">
            <w:pPr>
              <w:rPr>
                <w:rFonts w:ascii="Times New Roman" w:hAnsi="Times New Roman" w:cs="Times New Roman"/>
                <w:noProof/>
              </w:rPr>
            </w:pPr>
          </w:p>
        </w:tc>
        <w:tc>
          <w:tcPr>
            <w:tcW w:w="8280" w:type="dxa"/>
            <w:gridSpan w:val="6"/>
            <w:vMerge w:val="restart"/>
          </w:tcPr>
          <w:p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rsidR="00D52288" w:rsidRPr="004B1D52" w:rsidRDefault="00D52288" w:rsidP="007D3FB2">
            <w:pPr>
              <w:spacing w:line="240" w:lineRule="exact"/>
              <w:rPr>
                <w:rFonts w:ascii="Times New Roman" w:hAnsi="Times New Roman" w:cs="Times New Roman"/>
                <w:iCs/>
                <w:color w:val="000000"/>
                <w:sz w:val="18"/>
                <w:szCs w:val="72"/>
              </w:rPr>
            </w:pPr>
          </w:p>
          <w:p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IT 106</w:t>
            </w:r>
          </w:p>
          <w:p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F93CB8" w:rsidRPr="00BB335C">
                <w:rPr>
                  <w:rStyle w:val="Hyperlink"/>
                  <w:rFonts w:ascii="Times New Roman" w:hAnsi="Times New Roman" w:cs="Times New Roman"/>
                </w:rPr>
                <w:t>rmoore@ntcc.edu</w:t>
              </w:r>
            </w:hyperlink>
          </w:p>
          <w:p w:rsidR="007F350E" w:rsidRPr="004B1D52" w:rsidRDefault="007F350E" w:rsidP="007F350E">
            <w:pPr>
              <w:widowControl w:val="0"/>
              <w:autoSpaceDE w:val="0"/>
              <w:autoSpaceDN w:val="0"/>
              <w:adjustRightInd w:val="0"/>
              <w:rPr>
                <w:rFonts w:ascii="Times New Roman" w:hAnsi="Times New Roman" w:cs="Times New Roman"/>
              </w:rPr>
            </w:pPr>
          </w:p>
          <w:p w:rsidR="00D52288" w:rsidRPr="004B1D52" w:rsidRDefault="00D52288" w:rsidP="00F45421">
            <w:pPr>
              <w:rPr>
                <w:rFonts w:ascii="Times New Roman" w:hAnsi="Times New Roman" w:cs="Times New Roman"/>
              </w:rPr>
            </w:pPr>
          </w:p>
        </w:tc>
      </w:tr>
      <w:tr w:rsidR="00D52288" w:rsidRPr="004B1D52" w:rsidTr="00802190">
        <w:trPr>
          <w:trHeight w:val="720"/>
        </w:trPr>
        <w:tc>
          <w:tcPr>
            <w:tcW w:w="1800" w:type="dxa"/>
            <w:vMerge/>
            <w:tcBorders>
              <w:bottom w:val="single" w:sz="8" w:space="0" w:color="000000" w:themeColor="text1"/>
            </w:tcBorders>
          </w:tcPr>
          <w:p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rsidR="00D52288" w:rsidRPr="004B1D52" w:rsidRDefault="00D52288" w:rsidP="00E114BC">
            <w:pPr>
              <w:rPr>
                <w:rFonts w:ascii="Times New Roman" w:hAnsi="Times New Roman" w:cs="Times New Roman"/>
              </w:rPr>
            </w:pPr>
          </w:p>
        </w:tc>
      </w:tr>
      <w:tr w:rsidR="003120CF" w:rsidRPr="004B1D52"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AE5BF0" w:rsidP="00AE5BF0">
            <w:pPr>
              <w:rPr>
                <w:rFonts w:ascii="Times New Roman" w:hAnsi="Times New Roman" w:cs="Times New Roman"/>
                <w:sz w:val="20"/>
              </w:rPr>
            </w:pPr>
            <w:r>
              <w:rPr>
                <w:rFonts w:ascii="Times New Roman" w:hAnsi="Times New Roman" w:cs="Times New Roman"/>
                <w:sz w:val="20"/>
              </w:rPr>
              <w:t>11</w:t>
            </w:r>
            <w:r w:rsidR="00115334">
              <w:rPr>
                <w:rFonts w:ascii="Times New Roman" w:hAnsi="Times New Roman" w:cs="Times New Roman"/>
                <w:sz w:val="20"/>
              </w:rPr>
              <w:t>:00-</w:t>
            </w:r>
            <w:r>
              <w:rPr>
                <w:rFonts w:ascii="Times New Roman" w:hAnsi="Times New Roman" w:cs="Times New Roman"/>
                <w:sz w:val="20"/>
              </w:rPr>
              <w:t>11</w:t>
            </w:r>
            <w:r w:rsidR="00115334">
              <w:rPr>
                <w:rFonts w:ascii="Times New Roman" w:hAnsi="Times New Roman" w:cs="Times New Roman"/>
                <w:sz w:val="20"/>
              </w:rPr>
              <w:t xml:space="preserve">:30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FA22F6" w:rsidP="007D3FB2">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AE5BF0" w:rsidP="00AE5BF0">
            <w:pPr>
              <w:rPr>
                <w:rFonts w:ascii="Times New Roman" w:hAnsi="Times New Roman" w:cs="Times New Roman"/>
                <w:sz w:val="20"/>
              </w:rPr>
            </w:pPr>
            <w:r>
              <w:rPr>
                <w:rFonts w:ascii="Times New Roman" w:hAnsi="Times New Roman" w:cs="Times New Roman"/>
                <w:sz w:val="20"/>
              </w:rPr>
              <w:t>11</w:t>
            </w:r>
            <w:r w:rsidR="00115334">
              <w:rPr>
                <w:rFonts w:ascii="Times New Roman" w:hAnsi="Times New Roman" w:cs="Times New Roman"/>
                <w:sz w:val="20"/>
              </w:rPr>
              <w:t>:00-</w:t>
            </w:r>
            <w:r>
              <w:rPr>
                <w:rFonts w:ascii="Times New Roman" w:hAnsi="Times New Roman" w:cs="Times New Roman"/>
                <w:sz w:val="20"/>
              </w:rPr>
              <w:t>11</w:t>
            </w:r>
            <w:r w:rsidR="00115334">
              <w:rPr>
                <w:rFonts w:ascii="Times New Roman" w:hAnsi="Times New Roman" w:cs="Times New Roman"/>
                <w:sz w:val="20"/>
              </w:rPr>
              <w:t>:30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FA22F6" w:rsidP="00B46EA7">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FA22F6" w:rsidP="00B46EA7">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B46EA7">
            <w:pPr>
              <w:rPr>
                <w:rFonts w:ascii="Times New Roman" w:hAnsi="Times New Roman" w:cs="Times New Roman"/>
                <w:sz w:val="20"/>
              </w:rPr>
            </w:pPr>
            <w:r>
              <w:rPr>
                <w:rFonts w:ascii="Times New Roman" w:hAnsi="Times New Roman" w:cs="Times New Roman"/>
                <w:sz w:val="20"/>
              </w:rPr>
              <w:t>Any Time</w:t>
            </w:r>
          </w:p>
        </w:tc>
      </w:tr>
      <w:tr w:rsidR="00802190" w:rsidRPr="004B1D52" w:rsidTr="00617DDE">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rsidR="00802190" w:rsidRPr="004B1D52" w:rsidRDefault="00802190" w:rsidP="00AF1EF7">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w:t>
            </w:r>
            <w:proofErr w:type="gramStart"/>
            <w:r w:rsidR="00FA22F6">
              <w:rPr>
                <w:rFonts w:ascii="Times New Roman" w:hAnsi="Times New Roman" w:cs="Times New Roman"/>
              </w:rPr>
              <w:t>but</w:t>
            </w:r>
            <w:proofErr w:type="gramEnd"/>
            <w:r w:rsidR="00FA22F6">
              <w:rPr>
                <w:rFonts w:ascii="Times New Roman" w:hAnsi="Times New Roman" w:cs="Times New Roman"/>
              </w:rPr>
              <w:t xml:space="preserve">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rsidR="008631F4" w:rsidRPr="004B1D52" w:rsidRDefault="008631F4" w:rsidP="00FD1DD9">
      <w:pPr>
        <w:spacing w:line="240" w:lineRule="exact"/>
        <w:jc w:val="center"/>
        <w:rPr>
          <w:rFonts w:ascii="Times New Roman" w:hAnsi="Times New Roman" w:cs="Times New Roman"/>
          <w:b/>
          <w:iCs/>
          <w:color w:val="000000"/>
          <w:sz w:val="28"/>
          <w:szCs w:val="72"/>
        </w:rPr>
      </w:pPr>
    </w:p>
    <w:p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B1D52" w:rsidRDefault="003E542F" w:rsidP="008631F4">
      <w:pPr>
        <w:rPr>
          <w:rFonts w:ascii="Times New Roman" w:hAnsi="Times New Roman" w:cs="Times New Roman"/>
          <w:b/>
          <w:iCs/>
          <w:color w:val="000000"/>
          <w:szCs w:val="72"/>
        </w:rPr>
      </w:pPr>
    </w:p>
    <w:p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763BAF">
        <w:rPr>
          <w:rFonts w:ascii="Times New Roman" w:hAnsi="Times New Roman" w:cs="Times New Roman"/>
        </w:rPr>
        <w:t>police authority; responsibilities; constitutional constraints; laws of arrest, search, and seizure; police liability.</w:t>
      </w:r>
    </w:p>
    <w:p w:rsidR="00016417" w:rsidRDefault="00016417" w:rsidP="00016417">
      <w:pPr>
        <w:ind w:left="360"/>
        <w:rPr>
          <w:rFonts w:ascii="Times New Roman" w:hAnsi="Times New Roman" w:cs="Times New Roman"/>
        </w:rPr>
      </w:pPr>
    </w:p>
    <w:p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rsidR="004B1D52" w:rsidRPr="004B1D52" w:rsidRDefault="004B1D52" w:rsidP="004B1D52">
      <w:pPr>
        <w:ind w:left="360"/>
        <w:rPr>
          <w:rFonts w:ascii="Times New Roman" w:hAnsi="Times New Roman" w:cs="Times New Roman"/>
        </w:rPr>
      </w:pPr>
    </w:p>
    <w:p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rsidR="00F62638" w:rsidRPr="00A01AEC" w:rsidRDefault="00061075" w:rsidP="00F62638">
      <w:pPr>
        <w:ind w:left="360"/>
        <w:rPr>
          <w:rFonts w:ascii="Times New Roman" w:hAnsi="Times New Roman" w:cs="Times New Roman"/>
          <w:bCs/>
        </w:rPr>
      </w:pPr>
      <w:r>
        <w:rPr>
          <w:rFonts w:ascii="Times New Roman" w:hAnsi="Times New Roman" w:cs="Times New Roman"/>
          <w:bCs/>
          <w:i/>
        </w:rPr>
        <w:t xml:space="preserve">Texas Criminal and Traffic Law Manual, </w:t>
      </w:r>
      <w:r>
        <w:rPr>
          <w:rFonts w:ascii="Times New Roman" w:hAnsi="Times New Roman" w:cs="Times New Roman"/>
          <w:bCs/>
        </w:rPr>
        <w:t>LexisNexi</w:t>
      </w:r>
      <w:r w:rsidR="00AE5BF0">
        <w:rPr>
          <w:rFonts w:ascii="Times New Roman" w:hAnsi="Times New Roman" w:cs="Times New Roman"/>
          <w:bCs/>
        </w:rPr>
        <w:t>s, Mathew Bender &amp; Company; 2017-2018</w:t>
      </w:r>
      <w:r>
        <w:rPr>
          <w:rFonts w:ascii="Times New Roman" w:hAnsi="Times New Roman" w:cs="Times New Roman"/>
          <w:bCs/>
        </w:rPr>
        <w:t xml:space="preserve"> Edition</w:t>
      </w:r>
      <w:r w:rsidR="00A01AEC">
        <w:rPr>
          <w:rFonts w:ascii="Times New Roman" w:hAnsi="Times New Roman" w:cs="Times New Roman"/>
          <w:bCs/>
        </w:rPr>
        <w:t xml:space="preserve"> </w:t>
      </w:r>
    </w:p>
    <w:p w:rsidR="002E25C2" w:rsidRDefault="002E25C2" w:rsidP="00F62638">
      <w:pPr>
        <w:ind w:left="360"/>
        <w:rPr>
          <w:rFonts w:ascii="Times New Roman" w:hAnsi="Times New Roman" w:cs="Times New Roman"/>
          <w:bCs/>
        </w:rPr>
      </w:pPr>
    </w:p>
    <w:p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rsidR="00DE1543" w:rsidRDefault="00DE1543" w:rsidP="004B1D52">
      <w:pPr>
        <w:ind w:left="360"/>
        <w:rPr>
          <w:rFonts w:ascii="Times New Roman" w:hAnsi="Times New Roman" w:cs="Times New Roman"/>
          <w:b/>
        </w:rPr>
      </w:pPr>
    </w:p>
    <w:p w:rsidR="00521307" w:rsidRDefault="00521307" w:rsidP="004B1D52">
      <w:pPr>
        <w:ind w:left="360"/>
        <w:rPr>
          <w:rFonts w:ascii="Times New Roman" w:hAnsi="Times New Roman" w:cs="Times New Roman"/>
          <w:b/>
        </w:rPr>
      </w:pPr>
    </w:p>
    <w:p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rsidR="00626B63" w:rsidRPr="004B1D52" w:rsidRDefault="00521307" w:rsidP="004B1D52">
      <w:pPr>
        <w:spacing w:before="100" w:beforeAutospacing="1" w:after="100" w:afterAutospacing="1"/>
        <w:ind w:left="360"/>
        <w:rPr>
          <w:rFonts w:ascii="Times New Roman" w:hAnsi="Times New Roman" w:cs="Times New Roman"/>
        </w:rPr>
      </w:pPr>
      <w:r>
        <w:rPr>
          <w:rFonts w:ascii="Times New Roman" w:hAnsi="Times New Roman" w:cs="Times New Roman"/>
          <w:b/>
        </w:rPr>
        <w:t>Y</w:t>
      </w:r>
      <w:r w:rsidR="00626B63" w:rsidRPr="00916DCE">
        <w:rPr>
          <w:rFonts w:ascii="Times New Roman" w:hAnsi="Times New Roman" w:cs="Times New Roman"/>
          <w:b/>
        </w:rPr>
        <w:t>our instructor</w:t>
      </w:r>
      <w:r w:rsidR="00626B63"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00626B63"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rsidR="000251A3"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Understand and Identify the US and Texas Constitutionally guaranteed rights of citizens.</w:t>
      </w:r>
    </w:p>
    <w:p w:rsidR="009D144F"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 xml:space="preserve">Identify the various types of </w:t>
      </w:r>
      <w:r w:rsidR="00EF6491">
        <w:rPr>
          <w:rFonts w:ascii="Times New Roman" w:hAnsi="Times New Roman" w:cs="Times New Roman"/>
        </w:rPr>
        <w:t xml:space="preserve">Texas </w:t>
      </w:r>
      <w:r>
        <w:rPr>
          <w:rFonts w:ascii="Times New Roman" w:hAnsi="Times New Roman" w:cs="Times New Roman"/>
        </w:rPr>
        <w:t>Peace Officers</w:t>
      </w:r>
      <w:r w:rsidR="00EF6491">
        <w:rPr>
          <w:rFonts w:ascii="Times New Roman" w:hAnsi="Times New Roman" w:cs="Times New Roman"/>
        </w:rPr>
        <w:t xml:space="preserve"> and their respective duties.</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the meaning of Family Violence and List the duties of Peace Officers investigating such crimes.</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lastRenderedPageBreak/>
        <w:t>Explain the duty of Peace Officers to prevent Crimes and Criminal Activity.</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Identify the elements of Reasonable Suspicion, Probable Cause, and explain the mechanisms for a Warrantless Arrest or Search.</w:t>
      </w:r>
    </w:p>
    <w:p w:rsidR="00EF6491" w:rsidRPr="00061075"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and explain the legal elements necessary for obtaining and serving Arrest and Search warrants.</w:t>
      </w:r>
    </w:p>
    <w:p w:rsidR="00AE5BF0" w:rsidRDefault="00AE5BF0" w:rsidP="00D12357">
      <w:pPr>
        <w:rPr>
          <w:rFonts w:ascii="Times New Roman" w:hAnsi="Times New Roman" w:cs="Times New Roman"/>
          <w:b/>
        </w:rPr>
      </w:pPr>
    </w:p>
    <w:p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rsidR="00511AA5" w:rsidRDefault="00511AA5">
      <w:pPr>
        <w:rPr>
          <w:rFonts w:ascii="Times New Roman" w:hAnsi="Times New Roman" w:cs="Times New Roman"/>
          <w:b/>
        </w:rPr>
      </w:pPr>
    </w:p>
    <w:p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rsidR="00CF560E" w:rsidRDefault="00CF560E" w:rsidP="00CF560E">
      <w:r>
        <w:tab/>
      </w:r>
      <w:r>
        <w:tab/>
      </w:r>
      <w:r>
        <w:tab/>
      </w:r>
      <w:r>
        <w:tab/>
      </w:r>
    </w:p>
    <w:tbl>
      <w:tblPr>
        <w:tblStyle w:val="TableGrid"/>
        <w:tblW w:w="0" w:type="auto"/>
        <w:tblLook w:val="04A0" w:firstRow="1" w:lastRow="0" w:firstColumn="1" w:lastColumn="0" w:noHBand="0" w:noVBand="1"/>
      </w:tblPr>
      <w:tblGrid>
        <w:gridCol w:w="3377"/>
        <w:gridCol w:w="3377"/>
        <w:gridCol w:w="3377"/>
      </w:tblGrid>
      <w:tr w:rsidR="00CF560E" w:rsidTr="0037637D">
        <w:trPr>
          <w:trHeight w:val="388"/>
        </w:trPr>
        <w:tc>
          <w:tcPr>
            <w:tcW w:w="3377" w:type="dxa"/>
          </w:tcPr>
          <w:p w:rsidR="00CF560E" w:rsidRDefault="00CF560E" w:rsidP="00617DDE"/>
        </w:tc>
        <w:tc>
          <w:tcPr>
            <w:tcW w:w="3377" w:type="dxa"/>
          </w:tcPr>
          <w:p w:rsidR="00CF560E" w:rsidRDefault="00E97D6D" w:rsidP="00617DDE">
            <w:pPr>
              <w:jc w:val="center"/>
            </w:pPr>
            <w:r>
              <w:t>Monday</w:t>
            </w:r>
          </w:p>
        </w:tc>
        <w:tc>
          <w:tcPr>
            <w:tcW w:w="3377" w:type="dxa"/>
          </w:tcPr>
          <w:p w:rsidR="00CF560E" w:rsidRDefault="00E97D6D" w:rsidP="00617DDE">
            <w:pPr>
              <w:jc w:val="center"/>
            </w:pPr>
            <w:r>
              <w:t>Wednesday</w:t>
            </w:r>
          </w:p>
        </w:tc>
      </w:tr>
      <w:tr w:rsidR="004B3032" w:rsidTr="004B3032">
        <w:trPr>
          <w:trHeight w:val="368"/>
        </w:trPr>
        <w:tc>
          <w:tcPr>
            <w:tcW w:w="3377" w:type="dxa"/>
            <w:vAlign w:val="center"/>
          </w:tcPr>
          <w:p w:rsidR="004B3032" w:rsidRPr="00647C8C" w:rsidRDefault="004B3032" w:rsidP="007936B5">
            <w:pPr>
              <w:jc w:val="center"/>
              <w:rPr>
                <w:sz w:val="22"/>
                <w:szCs w:val="22"/>
              </w:rPr>
            </w:pPr>
            <w:r w:rsidRPr="00647C8C">
              <w:rPr>
                <w:sz w:val="22"/>
                <w:szCs w:val="22"/>
              </w:rPr>
              <w:t xml:space="preserve">Week 1 – Jan </w:t>
            </w:r>
            <w:r w:rsidR="007936B5">
              <w:rPr>
                <w:sz w:val="22"/>
                <w:szCs w:val="22"/>
              </w:rPr>
              <w:t>17/19</w:t>
            </w:r>
          </w:p>
        </w:tc>
        <w:tc>
          <w:tcPr>
            <w:tcW w:w="3377" w:type="dxa"/>
            <w:vAlign w:val="center"/>
          </w:tcPr>
          <w:p w:rsidR="004B3032" w:rsidRDefault="00E97D6D" w:rsidP="004B3032">
            <w:pPr>
              <w:jc w:val="center"/>
            </w:pPr>
            <w:r>
              <w:t>No Class – MLK Day</w:t>
            </w:r>
          </w:p>
        </w:tc>
        <w:tc>
          <w:tcPr>
            <w:tcW w:w="3377" w:type="dxa"/>
            <w:vAlign w:val="center"/>
          </w:tcPr>
          <w:p w:rsidR="004B3032" w:rsidRDefault="004B3032" w:rsidP="004B3032">
            <w:pPr>
              <w:jc w:val="center"/>
            </w:pPr>
            <w:r>
              <w:t>Course Introduction – Texas Code of Criminal Procedure</w:t>
            </w:r>
          </w:p>
        </w:tc>
      </w:tr>
      <w:tr w:rsidR="004B3032" w:rsidTr="004B3032">
        <w:trPr>
          <w:trHeight w:val="602"/>
        </w:trPr>
        <w:tc>
          <w:tcPr>
            <w:tcW w:w="3377" w:type="dxa"/>
            <w:vAlign w:val="center"/>
          </w:tcPr>
          <w:p w:rsidR="004B3032" w:rsidRPr="00647C8C" w:rsidRDefault="004B3032" w:rsidP="007936B5">
            <w:pPr>
              <w:jc w:val="center"/>
              <w:rPr>
                <w:sz w:val="22"/>
                <w:szCs w:val="22"/>
              </w:rPr>
            </w:pPr>
            <w:r>
              <w:rPr>
                <w:sz w:val="22"/>
                <w:szCs w:val="22"/>
              </w:rPr>
              <w:t xml:space="preserve">Week 2 – Jan </w:t>
            </w:r>
            <w:r w:rsidR="007936B5">
              <w:rPr>
                <w:sz w:val="22"/>
                <w:szCs w:val="22"/>
              </w:rPr>
              <w:t>24/26</w:t>
            </w:r>
          </w:p>
        </w:tc>
        <w:tc>
          <w:tcPr>
            <w:tcW w:w="3377" w:type="dxa"/>
            <w:vAlign w:val="center"/>
          </w:tcPr>
          <w:p w:rsidR="004B3032" w:rsidRDefault="004B3032" w:rsidP="004B3032">
            <w:pPr>
              <w:jc w:val="center"/>
            </w:pPr>
            <w:r>
              <w:t>Chapter 1 – General Provisions</w:t>
            </w:r>
          </w:p>
        </w:tc>
        <w:tc>
          <w:tcPr>
            <w:tcW w:w="3377" w:type="dxa"/>
            <w:vAlign w:val="center"/>
          </w:tcPr>
          <w:p w:rsidR="004B3032" w:rsidRDefault="004B3032" w:rsidP="004B3032">
            <w:pPr>
              <w:jc w:val="center"/>
            </w:pPr>
            <w:r>
              <w:t>Chapter 2 – Duties and Powers of Peace Officers</w:t>
            </w:r>
          </w:p>
        </w:tc>
      </w:tr>
      <w:tr w:rsidR="004B3032" w:rsidTr="004B3032">
        <w:trPr>
          <w:trHeight w:val="388"/>
        </w:trPr>
        <w:tc>
          <w:tcPr>
            <w:tcW w:w="3377" w:type="dxa"/>
            <w:vAlign w:val="center"/>
          </w:tcPr>
          <w:p w:rsidR="004B3032" w:rsidRPr="00647C8C" w:rsidRDefault="004B3032" w:rsidP="007936B5">
            <w:pPr>
              <w:jc w:val="center"/>
              <w:rPr>
                <w:sz w:val="22"/>
                <w:szCs w:val="22"/>
              </w:rPr>
            </w:pPr>
            <w:r>
              <w:rPr>
                <w:sz w:val="22"/>
                <w:szCs w:val="22"/>
              </w:rPr>
              <w:t xml:space="preserve">Week 3 – </w:t>
            </w:r>
            <w:r w:rsidR="007936B5">
              <w:rPr>
                <w:sz w:val="22"/>
                <w:szCs w:val="22"/>
              </w:rPr>
              <w:t>Jan 31/Feb 2</w:t>
            </w:r>
          </w:p>
        </w:tc>
        <w:tc>
          <w:tcPr>
            <w:tcW w:w="3377" w:type="dxa"/>
            <w:vAlign w:val="center"/>
          </w:tcPr>
          <w:p w:rsidR="004B3032" w:rsidRPr="00BD6276" w:rsidRDefault="004B3032" w:rsidP="004B3032">
            <w:pPr>
              <w:jc w:val="center"/>
            </w:pPr>
            <w:r w:rsidRPr="004567A8">
              <w:t>Chapter 4 – Criminal Courts</w:t>
            </w:r>
          </w:p>
        </w:tc>
        <w:tc>
          <w:tcPr>
            <w:tcW w:w="3377" w:type="dxa"/>
            <w:vAlign w:val="center"/>
          </w:tcPr>
          <w:p w:rsidR="004B3032" w:rsidRDefault="004B3032" w:rsidP="004B3032">
            <w:pPr>
              <w:jc w:val="center"/>
            </w:pPr>
            <w:r>
              <w:t>Discussion Forum #1 – Shall vs May</w:t>
            </w:r>
          </w:p>
        </w:tc>
      </w:tr>
      <w:tr w:rsidR="004B3032" w:rsidTr="004B3032">
        <w:trPr>
          <w:trHeight w:val="368"/>
        </w:trPr>
        <w:tc>
          <w:tcPr>
            <w:tcW w:w="3377" w:type="dxa"/>
            <w:vAlign w:val="center"/>
          </w:tcPr>
          <w:p w:rsidR="004B3032" w:rsidRPr="00647C8C" w:rsidRDefault="004B3032" w:rsidP="007936B5">
            <w:pPr>
              <w:jc w:val="center"/>
              <w:rPr>
                <w:sz w:val="22"/>
                <w:szCs w:val="22"/>
              </w:rPr>
            </w:pPr>
            <w:r>
              <w:rPr>
                <w:sz w:val="22"/>
                <w:szCs w:val="22"/>
              </w:rPr>
              <w:t xml:space="preserve">Week 4 – Feb </w:t>
            </w:r>
            <w:r w:rsidR="007936B5">
              <w:rPr>
                <w:sz w:val="22"/>
                <w:szCs w:val="22"/>
              </w:rPr>
              <w:t>7/9</w:t>
            </w:r>
          </w:p>
        </w:tc>
        <w:tc>
          <w:tcPr>
            <w:tcW w:w="3377" w:type="dxa"/>
            <w:vAlign w:val="center"/>
          </w:tcPr>
          <w:p w:rsidR="004B3032" w:rsidRDefault="004B3032" w:rsidP="004B3032">
            <w:pPr>
              <w:jc w:val="center"/>
            </w:pPr>
            <w:r>
              <w:t>Defining the “Family” – Chapter 71 Family Code</w:t>
            </w:r>
          </w:p>
        </w:tc>
        <w:tc>
          <w:tcPr>
            <w:tcW w:w="3377" w:type="dxa"/>
            <w:vAlign w:val="center"/>
          </w:tcPr>
          <w:p w:rsidR="004B3032" w:rsidRDefault="004B3032" w:rsidP="004B3032">
            <w:pPr>
              <w:jc w:val="center"/>
            </w:pPr>
            <w:r>
              <w:t>Chapter 5 – Family Violence Prevention</w:t>
            </w:r>
          </w:p>
        </w:tc>
      </w:tr>
      <w:tr w:rsidR="004B3032" w:rsidTr="004B3032">
        <w:trPr>
          <w:trHeight w:val="422"/>
        </w:trPr>
        <w:tc>
          <w:tcPr>
            <w:tcW w:w="3377" w:type="dxa"/>
            <w:vAlign w:val="center"/>
          </w:tcPr>
          <w:p w:rsidR="004B3032" w:rsidRPr="00647C8C" w:rsidRDefault="004B3032" w:rsidP="007936B5">
            <w:pPr>
              <w:jc w:val="center"/>
              <w:rPr>
                <w:sz w:val="22"/>
                <w:szCs w:val="22"/>
              </w:rPr>
            </w:pPr>
            <w:r w:rsidRPr="00647C8C">
              <w:rPr>
                <w:sz w:val="22"/>
                <w:szCs w:val="22"/>
              </w:rPr>
              <w:t xml:space="preserve">Week </w:t>
            </w:r>
            <w:r>
              <w:rPr>
                <w:sz w:val="22"/>
                <w:szCs w:val="22"/>
              </w:rPr>
              <w:t xml:space="preserve">5 – Feb </w:t>
            </w:r>
            <w:r w:rsidR="007936B5">
              <w:rPr>
                <w:sz w:val="22"/>
                <w:szCs w:val="22"/>
              </w:rPr>
              <w:t>14/16</w:t>
            </w:r>
          </w:p>
        </w:tc>
        <w:tc>
          <w:tcPr>
            <w:tcW w:w="3377" w:type="dxa"/>
            <w:vAlign w:val="center"/>
          </w:tcPr>
          <w:p w:rsidR="004B3032" w:rsidRDefault="004B3032" w:rsidP="004B3032">
            <w:pPr>
              <w:jc w:val="center"/>
              <w:rPr>
                <w:b/>
                <w:u w:val="single"/>
              </w:rPr>
            </w:pPr>
            <w:r w:rsidRPr="00AE5BF0">
              <w:rPr>
                <w:b/>
                <w:u w:val="single"/>
              </w:rPr>
              <w:t>Quiz #1</w:t>
            </w:r>
          </w:p>
          <w:p w:rsidR="004B3032" w:rsidRPr="00AE5BF0" w:rsidRDefault="004B3032" w:rsidP="004B3032">
            <w:pPr>
              <w:jc w:val="center"/>
              <w:rPr>
                <w:b/>
                <w:u w:val="single"/>
              </w:rPr>
            </w:pPr>
            <w:r>
              <w:t>Chapter 6 – Duty to Prevent Offenses</w:t>
            </w:r>
          </w:p>
        </w:tc>
        <w:tc>
          <w:tcPr>
            <w:tcW w:w="3377" w:type="dxa"/>
            <w:vAlign w:val="center"/>
          </w:tcPr>
          <w:p w:rsidR="004B3032" w:rsidRDefault="004B3032" w:rsidP="004B3032">
            <w:pPr>
              <w:jc w:val="center"/>
            </w:pPr>
            <w:r>
              <w:t>Legal Analysis #1</w:t>
            </w:r>
          </w:p>
        </w:tc>
      </w:tr>
      <w:tr w:rsidR="004B3032" w:rsidTr="004B3032">
        <w:trPr>
          <w:trHeight w:val="388"/>
        </w:trPr>
        <w:tc>
          <w:tcPr>
            <w:tcW w:w="3377" w:type="dxa"/>
            <w:vAlign w:val="center"/>
          </w:tcPr>
          <w:p w:rsidR="004B3032" w:rsidRPr="00647C8C" w:rsidRDefault="004B3032" w:rsidP="007936B5">
            <w:pPr>
              <w:jc w:val="center"/>
              <w:rPr>
                <w:sz w:val="22"/>
                <w:szCs w:val="22"/>
              </w:rPr>
            </w:pPr>
            <w:r>
              <w:rPr>
                <w:sz w:val="22"/>
                <w:szCs w:val="22"/>
              </w:rPr>
              <w:t xml:space="preserve">Week 6 – Feb </w:t>
            </w:r>
            <w:r w:rsidR="007936B5">
              <w:rPr>
                <w:sz w:val="22"/>
                <w:szCs w:val="22"/>
              </w:rPr>
              <w:t>21/23</w:t>
            </w:r>
          </w:p>
        </w:tc>
        <w:tc>
          <w:tcPr>
            <w:tcW w:w="3377" w:type="dxa"/>
            <w:vAlign w:val="center"/>
          </w:tcPr>
          <w:p w:rsidR="004B3032" w:rsidRPr="0037637D" w:rsidRDefault="004B3032" w:rsidP="004B3032">
            <w:pPr>
              <w:jc w:val="center"/>
            </w:pPr>
            <w:r>
              <w:t>R.S. vs P.C. – Totality of Circumstances</w:t>
            </w:r>
          </w:p>
        </w:tc>
        <w:tc>
          <w:tcPr>
            <w:tcW w:w="3377" w:type="dxa"/>
            <w:vAlign w:val="center"/>
          </w:tcPr>
          <w:p w:rsidR="004B3032" w:rsidRPr="00BD6276" w:rsidRDefault="00C33775" w:rsidP="004B3032">
            <w:pPr>
              <w:jc w:val="center"/>
            </w:pPr>
            <w:r>
              <w:t xml:space="preserve">Discussion Forum #2 - </w:t>
            </w:r>
            <w:r w:rsidR="004B3032">
              <w:t>Reasonable Suspicion vs Probable Cause</w:t>
            </w:r>
          </w:p>
        </w:tc>
      </w:tr>
      <w:tr w:rsidR="004B3032" w:rsidTr="004B3032">
        <w:trPr>
          <w:trHeight w:val="458"/>
        </w:trPr>
        <w:tc>
          <w:tcPr>
            <w:tcW w:w="3377" w:type="dxa"/>
            <w:vAlign w:val="center"/>
          </w:tcPr>
          <w:p w:rsidR="004B3032" w:rsidRPr="00647C8C" w:rsidRDefault="004B3032" w:rsidP="007936B5">
            <w:pPr>
              <w:jc w:val="center"/>
              <w:rPr>
                <w:sz w:val="22"/>
                <w:szCs w:val="22"/>
              </w:rPr>
            </w:pPr>
            <w:r>
              <w:rPr>
                <w:sz w:val="22"/>
                <w:szCs w:val="22"/>
              </w:rPr>
              <w:t xml:space="preserve">Week 7 – </w:t>
            </w:r>
            <w:r w:rsidR="007936B5">
              <w:rPr>
                <w:sz w:val="22"/>
                <w:szCs w:val="22"/>
              </w:rPr>
              <w:t>Feb 28/Mar2</w:t>
            </w:r>
          </w:p>
        </w:tc>
        <w:tc>
          <w:tcPr>
            <w:tcW w:w="3377" w:type="dxa"/>
            <w:vAlign w:val="center"/>
          </w:tcPr>
          <w:p w:rsidR="004B3032" w:rsidRPr="00AE5BF0" w:rsidRDefault="004B3032" w:rsidP="004B3032">
            <w:pPr>
              <w:jc w:val="center"/>
              <w:rPr>
                <w:b/>
                <w:u w:val="single"/>
              </w:rPr>
            </w:pPr>
            <w:r w:rsidRPr="00AE5BF0">
              <w:rPr>
                <w:b/>
                <w:u w:val="single"/>
              </w:rPr>
              <w:t>Quiz #2</w:t>
            </w:r>
          </w:p>
          <w:p w:rsidR="004B3032" w:rsidRPr="00BD6276" w:rsidRDefault="004B3032" w:rsidP="004B3032">
            <w:pPr>
              <w:jc w:val="center"/>
            </w:pPr>
            <w:r>
              <w:t>The Probable Cause Standard and Individual Rights</w:t>
            </w:r>
          </w:p>
        </w:tc>
        <w:tc>
          <w:tcPr>
            <w:tcW w:w="3377" w:type="dxa"/>
            <w:vAlign w:val="center"/>
          </w:tcPr>
          <w:p w:rsidR="004B3032" w:rsidRPr="00BD6276" w:rsidRDefault="004B3032" w:rsidP="004B3032">
            <w:pPr>
              <w:jc w:val="center"/>
            </w:pPr>
            <w:r>
              <w:t>Chapter 7 – Proceedings Before Magistrates to Prevent Offenses</w:t>
            </w:r>
          </w:p>
        </w:tc>
      </w:tr>
      <w:tr w:rsidR="004B3032" w:rsidTr="004B3032">
        <w:trPr>
          <w:trHeight w:val="368"/>
        </w:trPr>
        <w:tc>
          <w:tcPr>
            <w:tcW w:w="3377" w:type="dxa"/>
            <w:vAlign w:val="center"/>
          </w:tcPr>
          <w:p w:rsidR="004B3032" w:rsidRPr="000F596E" w:rsidRDefault="004B3032" w:rsidP="007936B5">
            <w:pPr>
              <w:jc w:val="center"/>
              <w:rPr>
                <w:b/>
                <w:sz w:val="22"/>
                <w:szCs w:val="22"/>
              </w:rPr>
            </w:pPr>
            <w:r w:rsidRPr="00647C8C">
              <w:rPr>
                <w:b/>
                <w:sz w:val="22"/>
                <w:szCs w:val="22"/>
              </w:rPr>
              <w:t xml:space="preserve"> </w:t>
            </w:r>
            <w:r>
              <w:rPr>
                <w:b/>
                <w:sz w:val="22"/>
                <w:szCs w:val="22"/>
              </w:rPr>
              <w:t xml:space="preserve">Week 8 – Mar </w:t>
            </w:r>
            <w:r w:rsidR="007936B5">
              <w:rPr>
                <w:b/>
                <w:sz w:val="22"/>
                <w:szCs w:val="22"/>
              </w:rPr>
              <w:t>7/9</w:t>
            </w:r>
          </w:p>
        </w:tc>
        <w:tc>
          <w:tcPr>
            <w:tcW w:w="3377" w:type="dxa"/>
            <w:vAlign w:val="center"/>
          </w:tcPr>
          <w:p w:rsidR="004B3032" w:rsidRPr="00AE5BF0" w:rsidRDefault="004B3032" w:rsidP="004B3032">
            <w:pPr>
              <w:jc w:val="center"/>
              <w:rPr>
                <w:b/>
              </w:rPr>
            </w:pPr>
            <w:r w:rsidRPr="00AE5BF0">
              <w:rPr>
                <w:b/>
              </w:rPr>
              <w:t>Mid-Term Review</w:t>
            </w:r>
          </w:p>
        </w:tc>
        <w:tc>
          <w:tcPr>
            <w:tcW w:w="3377" w:type="dxa"/>
            <w:vAlign w:val="center"/>
          </w:tcPr>
          <w:p w:rsidR="004B3032" w:rsidRPr="00AE5BF0" w:rsidRDefault="004B3032" w:rsidP="004B3032">
            <w:pPr>
              <w:jc w:val="center"/>
              <w:rPr>
                <w:b/>
              </w:rPr>
            </w:pPr>
            <w:r w:rsidRPr="00AE5BF0">
              <w:rPr>
                <w:b/>
              </w:rPr>
              <w:t>Mid-Term Exam</w:t>
            </w:r>
          </w:p>
        </w:tc>
      </w:tr>
      <w:tr w:rsidR="004B3032" w:rsidTr="004B3032">
        <w:trPr>
          <w:trHeight w:val="388"/>
        </w:trPr>
        <w:tc>
          <w:tcPr>
            <w:tcW w:w="3377" w:type="dxa"/>
            <w:vAlign w:val="center"/>
          </w:tcPr>
          <w:p w:rsidR="004B3032" w:rsidRPr="00647C8C" w:rsidRDefault="004B3032" w:rsidP="007936B5">
            <w:pPr>
              <w:jc w:val="center"/>
              <w:rPr>
                <w:b/>
                <w:bCs/>
                <w:sz w:val="22"/>
                <w:szCs w:val="22"/>
              </w:rPr>
            </w:pPr>
            <w:r>
              <w:rPr>
                <w:b/>
                <w:bCs/>
                <w:sz w:val="22"/>
                <w:szCs w:val="22"/>
              </w:rPr>
              <w:t xml:space="preserve">Week 9 – Mar </w:t>
            </w:r>
            <w:r w:rsidR="007936B5">
              <w:rPr>
                <w:b/>
                <w:bCs/>
                <w:sz w:val="22"/>
                <w:szCs w:val="22"/>
              </w:rPr>
              <w:t>14/16</w:t>
            </w:r>
          </w:p>
        </w:tc>
        <w:tc>
          <w:tcPr>
            <w:tcW w:w="3377" w:type="dxa"/>
            <w:vAlign w:val="center"/>
          </w:tcPr>
          <w:p w:rsidR="004B3032" w:rsidRPr="004B3032" w:rsidRDefault="004B3032" w:rsidP="004B3032">
            <w:pPr>
              <w:jc w:val="center"/>
              <w:rPr>
                <w:b/>
              </w:rPr>
            </w:pPr>
            <w:r w:rsidRPr="004B3032">
              <w:rPr>
                <w:b/>
              </w:rPr>
              <w:t>Spring</w:t>
            </w:r>
          </w:p>
        </w:tc>
        <w:tc>
          <w:tcPr>
            <w:tcW w:w="3377" w:type="dxa"/>
            <w:vAlign w:val="center"/>
          </w:tcPr>
          <w:p w:rsidR="004B3032" w:rsidRPr="004B3032" w:rsidRDefault="004B3032" w:rsidP="004B3032">
            <w:pPr>
              <w:jc w:val="center"/>
              <w:rPr>
                <w:b/>
              </w:rPr>
            </w:pPr>
            <w:r w:rsidRPr="004B3032">
              <w:rPr>
                <w:b/>
              </w:rPr>
              <w:t>Break</w:t>
            </w:r>
          </w:p>
        </w:tc>
      </w:tr>
      <w:tr w:rsidR="004B3032" w:rsidTr="004B3032">
        <w:trPr>
          <w:trHeight w:val="368"/>
        </w:trPr>
        <w:tc>
          <w:tcPr>
            <w:tcW w:w="3377" w:type="dxa"/>
            <w:vAlign w:val="center"/>
          </w:tcPr>
          <w:p w:rsidR="004B3032" w:rsidRPr="00647C8C" w:rsidRDefault="004B3032" w:rsidP="007936B5">
            <w:pPr>
              <w:jc w:val="center"/>
              <w:rPr>
                <w:sz w:val="22"/>
                <w:szCs w:val="22"/>
              </w:rPr>
            </w:pPr>
            <w:r>
              <w:rPr>
                <w:sz w:val="22"/>
                <w:szCs w:val="22"/>
              </w:rPr>
              <w:t xml:space="preserve">Week 10 – Mar </w:t>
            </w:r>
            <w:r w:rsidR="007936B5">
              <w:rPr>
                <w:sz w:val="22"/>
                <w:szCs w:val="22"/>
              </w:rPr>
              <w:t>21/23</w:t>
            </w:r>
          </w:p>
        </w:tc>
        <w:tc>
          <w:tcPr>
            <w:tcW w:w="3377" w:type="dxa"/>
            <w:vAlign w:val="center"/>
          </w:tcPr>
          <w:p w:rsidR="004B3032" w:rsidRPr="00BD6276" w:rsidRDefault="00C33775" w:rsidP="004B3032">
            <w:pPr>
              <w:jc w:val="center"/>
            </w:pPr>
            <w:r>
              <w:t>Chapter 11 – Habeas Corpus</w:t>
            </w:r>
          </w:p>
        </w:tc>
        <w:tc>
          <w:tcPr>
            <w:tcW w:w="3377" w:type="dxa"/>
            <w:vAlign w:val="center"/>
          </w:tcPr>
          <w:p w:rsidR="004B3032" w:rsidRPr="00BD6276" w:rsidRDefault="00C33775" w:rsidP="004B3032">
            <w:pPr>
              <w:jc w:val="center"/>
            </w:pPr>
            <w:r>
              <w:t>Legal Analysis #2</w:t>
            </w:r>
          </w:p>
        </w:tc>
      </w:tr>
      <w:tr w:rsidR="004B3032" w:rsidTr="004B3032">
        <w:trPr>
          <w:trHeight w:val="388"/>
        </w:trPr>
        <w:tc>
          <w:tcPr>
            <w:tcW w:w="3377" w:type="dxa"/>
            <w:vAlign w:val="center"/>
          </w:tcPr>
          <w:p w:rsidR="004B3032" w:rsidRPr="00647C8C" w:rsidRDefault="004B3032" w:rsidP="007936B5">
            <w:pPr>
              <w:jc w:val="center"/>
              <w:rPr>
                <w:sz w:val="22"/>
                <w:szCs w:val="22"/>
              </w:rPr>
            </w:pPr>
            <w:r>
              <w:rPr>
                <w:sz w:val="22"/>
                <w:szCs w:val="22"/>
              </w:rPr>
              <w:t xml:space="preserve">Week 11 – Mar </w:t>
            </w:r>
            <w:r w:rsidR="007936B5">
              <w:rPr>
                <w:sz w:val="22"/>
                <w:szCs w:val="22"/>
              </w:rPr>
              <w:t>28/30</w:t>
            </w:r>
          </w:p>
        </w:tc>
        <w:tc>
          <w:tcPr>
            <w:tcW w:w="3377" w:type="dxa"/>
            <w:vAlign w:val="center"/>
          </w:tcPr>
          <w:p w:rsidR="004B3032" w:rsidRPr="00AE5BF0" w:rsidRDefault="00C33775" w:rsidP="00C33775">
            <w:pPr>
              <w:jc w:val="center"/>
              <w:rPr>
                <w:b/>
                <w:u w:val="single"/>
              </w:rPr>
            </w:pPr>
            <w:r>
              <w:t xml:space="preserve">Chapter </w:t>
            </w:r>
            <w:r>
              <w:t>14 – Warrantless Arrest</w:t>
            </w:r>
          </w:p>
        </w:tc>
        <w:tc>
          <w:tcPr>
            <w:tcW w:w="3377" w:type="dxa"/>
            <w:vAlign w:val="center"/>
          </w:tcPr>
          <w:p w:rsidR="004B3032" w:rsidRPr="00BD6276" w:rsidRDefault="005D0321" w:rsidP="005D0321">
            <w:pPr>
              <w:jc w:val="center"/>
            </w:pPr>
            <w:r>
              <w:t>Warrantless Arrest Assignment</w:t>
            </w:r>
          </w:p>
        </w:tc>
      </w:tr>
      <w:tr w:rsidR="004B3032" w:rsidTr="004B3032">
        <w:trPr>
          <w:trHeight w:val="377"/>
        </w:trPr>
        <w:tc>
          <w:tcPr>
            <w:tcW w:w="3377" w:type="dxa"/>
            <w:vAlign w:val="center"/>
          </w:tcPr>
          <w:p w:rsidR="004B3032" w:rsidRPr="00647C8C" w:rsidRDefault="004B3032" w:rsidP="007936B5">
            <w:pPr>
              <w:jc w:val="center"/>
              <w:rPr>
                <w:sz w:val="22"/>
                <w:szCs w:val="22"/>
              </w:rPr>
            </w:pPr>
            <w:r>
              <w:rPr>
                <w:sz w:val="22"/>
                <w:szCs w:val="22"/>
              </w:rPr>
              <w:t xml:space="preserve">Week 12 – Apr </w:t>
            </w:r>
            <w:r w:rsidR="007936B5">
              <w:rPr>
                <w:sz w:val="22"/>
                <w:szCs w:val="22"/>
              </w:rPr>
              <w:t>4/6</w:t>
            </w:r>
          </w:p>
        </w:tc>
        <w:tc>
          <w:tcPr>
            <w:tcW w:w="3377" w:type="dxa"/>
            <w:vAlign w:val="center"/>
          </w:tcPr>
          <w:p w:rsidR="004B3032" w:rsidRDefault="00C33775" w:rsidP="004B3032">
            <w:pPr>
              <w:jc w:val="center"/>
              <w:rPr>
                <w:b/>
                <w:u w:val="single"/>
              </w:rPr>
            </w:pPr>
            <w:r w:rsidRPr="00AE5BF0">
              <w:rPr>
                <w:b/>
                <w:u w:val="single"/>
              </w:rPr>
              <w:t>Quiz #3</w:t>
            </w:r>
          </w:p>
          <w:p w:rsidR="005D0321" w:rsidRPr="005D0321" w:rsidRDefault="005D0321" w:rsidP="004B3032">
            <w:pPr>
              <w:jc w:val="center"/>
            </w:pPr>
            <w:r w:rsidRPr="005D0321">
              <w:t>Chapter 15 – Warrant Arrest</w:t>
            </w:r>
          </w:p>
        </w:tc>
        <w:tc>
          <w:tcPr>
            <w:tcW w:w="3377" w:type="dxa"/>
            <w:vAlign w:val="center"/>
          </w:tcPr>
          <w:p w:rsidR="004B3032" w:rsidRPr="00BD6276" w:rsidRDefault="005D0321" w:rsidP="004B3032">
            <w:pPr>
              <w:jc w:val="center"/>
            </w:pPr>
            <w:r>
              <w:t>Discussion Forum #3 – Why are Warrants Important</w:t>
            </w:r>
          </w:p>
        </w:tc>
      </w:tr>
      <w:tr w:rsidR="004B3032" w:rsidTr="004B3032">
        <w:trPr>
          <w:trHeight w:val="368"/>
        </w:trPr>
        <w:tc>
          <w:tcPr>
            <w:tcW w:w="3377" w:type="dxa"/>
            <w:vAlign w:val="center"/>
          </w:tcPr>
          <w:p w:rsidR="004B3032" w:rsidRPr="00647C8C" w:rsidRDefault="004B3032" w:rsidP="007936B5">
            <w:pPr>
              <w:jc w:val="center"/>
              <w:rPr>
                <w:sz w:val="22"/>
                <w:szCs w:val="22"/>
              </w:rPr>
            </w:pPr>
            <w:r w:rsidRPr="00647C8C">
              <w:rPr>
                <w:sz w:val="22"/>
                <w:szCs w:val="22"/>
              </w:rPr>
              <w:t>Week 13 – Apr</w:t>
            </w:r>
            <w:r>
              <w:rPr>
                <w:sz w:val="22"/>
                <w:szCs w:val="22"/>
              </w:rPr>
              <w:t xml:space="preserve"> </w:t>
            </w:r>
            <w:r w:rsidR="007936B5">
              <w:rPr>
                <w:sz w:val="22"/>
                <w:szCs w:val="22"/>
              </w:rPr>
              <w:t>11/13</w:t>
            </w:r>
          </w:p>
        </w:tc>
        <w:tc>
          <w:tcPr>
            <w:tcW w:w="3377" w:type="dxa"/>
            <w:vAlign w:val="center"/>
          </w:tcPr>
          <w:p w:rsidR="004B3032" w:rsidRPr="00AE5BF0" w:rsidRDefault="005D0321" w:rsidP="004B3032">
            <w:pPr>
              <w:jc w:val="center"/>
              <w:rPr>
                <w:b/>
              </w:rPr>
            </w:pPr>
            <w:r>
              <w:t>Chapter 18 – Search Warrants</w:t>
            </w:r>
          </w:p>
        </w:tc>
        <w:tc>
          <w:tcPr>
            <w:tcW w:w="3377" w:type="dxa"/>
            <w:vAlign w:val="center"/>
          </w:tcPr>
          <w:p w:rsidR="004B3032" w:rsidRPr="00AE5BF0" w:rsidRDefault="00E97D6D" w:rsidP="004B3032">
            <w:pPr>
              <w:jc w:val="center"/>
              <w:rPr>
                <w:b/>
              </w:rPr>
            </w:pPr>
            <w:r>
              <w:t>Warrant Affidavit</w:t>
            </w:r>
          </w:p>
        </w:tc>
      </w:tr>
      <w:tr w:rsidR="004B3032" w:rsidTr="004B3032">
        <w:trPr>
          <w:trHeight w:val="548"/>
        </w:trPr>
        <w:tc>
          <w:tcPr>
            <w:tcW w:w="3377" w:type="dxa"/>
            <w:vAlign w:val="center"/>
          </w:tcPr>
          <w:p w:rsidR="004B3032" w:rsidRPr="00647C8C" w:rsidRDefault="004B3032" w:rsidP="007936B5">
            <w:pPr>
              <w:jc w:val="center"/>
              <w:rPr>
                <w:bCs/>
                <w:sz w:val="22"/>
                <w:szCs w:val="22"/>
              </w:rPr>
            </w:pPr>
            <w:r w:rsidRPr="00647C8C">
              <w:rPr>
                <w:bCs/>
                <w:sz w:val="22"/>
                <w:szCs w:val="22"/>
              </w:rPr>
              <w:t xml:space="preserve">Week 14 – </w:t>
            </w:r>
            <w:r>
              <w:rPr>
                <w:bCs/>
                <w:sz w:val="22"/>
                <w:szCs w:val="22"/>
              </w:rPr>
              <w:t xml:space="preserve">Apr </w:t>
            </w:r>
            <w:r w:rsidR="007936B5">
              <w:rPr>
                <w:bCs/>
                <w:sz w:val="22"/>
                <w:szCs w:val="22"/>
              </w:rPr>
              <w:t>18/20</w:t>
            </w:r>
          </w:p>
        </w:tc>
        <w:tc>
          <w:tcPr>
            <w:tcW w:w="3377" w:type="dxa"/>
            <w:vAlign w:val="center"/>
          </w:tcPr>
          <w:p w:rsidR="004B3032" w:rsidRPr="00AE5BF0" w:rsidRDefault="004B3032" w:rsidP="004B3032">
            <w:pPr>
              <w:jc w:val="center"/>
              <w:rPr>
                <w:b/>
                <w:u w:val="single"/>
              </w:rPr>
            </w:pPr>
            <w:r w:rsidRPr="00AE5BF0">
              <w:rPr>
                <w:b/>
                <w:u w:val="single"/>
              </w:rPr>
              <w:t>Quiz IV</w:t>
            </w:r>
          </w:p>
          <w:p w:rsidR="004B3032" w:rsidRPr="00BD6276" w:rsidRDefault="004B3032" w:rsidP="004B3032">
            <w:pPr>
              <w:jc w:val="center"/>
            </w:pPr>
            <w:r>
              <w:t>Chapter 18 – Search Warrants</w:t>
            </w:r>
          </w:p>
        </w:tc>
        <w:tc>
          <w:tcPr>
            <w:tcW w:w="3377" w:type="dxa"/>
            <w:vAlign w:val="center"/>
          </w:tcPr>
          <w:p w:rsidR="004B3032" w:rsidRPr="00BD6276" w:rsidRDefault="004B3032" w:rsidP="004B3032">
            <w:pPr>
              <w:jc w:val="center"/>
            </w:pPr>
            <w:r>
              <w:t>Chapter 18</w:t>
            </w:r>
            <w:r w:rsidR="005D0321">
              <w:t>A &amp; B</w:t>
            </w:r>
            <w:r>
              <w:t xml:space="preserve"> – Search Warrants</w:t>
            </w:r>
          </w:p>
        </w:tc>
      </w:tr>
      <w:tr w:rsidR="004B3032" w:rsidTr="004B3032">
        <w:trPr>
          <w:trHeight w:val="388"/>
        </w:trPr>
        <w:tc>
          <w:tcPr>
            <w:tcW w:w="3377" w:type="dxa"/>
            <w:vAlign w:val="center"/>
          </w:tcPr>
          <w:p w:rsidR="004B3032" w:rsidRPr="00647C8C" w:rsidRDefault="004B3032" w:rsidP="007936B5">
            <w:pPr>
              <w:jc w:val="center"/>
              <w:rPr>
                <w:sz w:val="22"/>
                <w:szCs w:val="22"/>
              </w:rPr>
            </w:pPr>
            <w:r w:rsidRPr="00647C8C">
              <w:rPr>
                <w:sz w:val="22"/>
                <w:szCs w:val="22"/>
              </w:rPr>
              <w:t xml:space="preserve">Week 15 – </w:t>
            </w:r>
            <w:r>
              <w:rPr>
                <w:sz w:val="22"/>
                <w:szCs w:val="22"/>
              </w:rPr>
              <w:t xml:space="preserve">Apr </w:t>
            </w:r>
            <w:r w:rsidR="007936B5">
              <w:rPr>
                <w:sz w:val="22"/>
                <w:szCs w:val="22"/>
              </w:rPr>
              <w:t>25/27</w:t>
            </w:r>
          </w:p>
        </w:tc>
        <w:tc>
          <w:tcPr>
            <w:tcW w:w="3377" w:type="dxa"/>
            <w:vAlign w:val="center"/>
          </w:tcPr>
          <w:p w:rsidR="004B3032" w:rsidRPr="00521307" w:rsidRDefault="004C7A6B" w:rsidP="004B3032">
            <w:pPr>
              <w:jc w:val="center"/>
            </w:pPr>
            <w:r>
              <w:t>The Court Process</w:t>
            </w:r>
          </w:p>
        </w:tc>
        <w:tc>
          <w:tcPr>
            <w:tcW w:w="3377" w:type="dxa"/>
            <w:vAlign w:val="center"/>
          </w:tcPr>
          <w:p w:rsidR="004B3032" w:rsidRPr="00143D39" w:rsidRDefault="004C7A6B" w:rsidP="004B3032">
            <w:pPr>
              <w:jc w:val="center"/>
            </w:pPr>
            <w:r>
              <w:t>Indictment vs Information</w:t>
            </w:r>
          </w:p>
        </w:tc>
      </w:tr>
      <w:tr w:rsidR="004B3032" w:rsidTr="004B3032">
        <w:trPr>
          <w:trHeight w:val="388"/>
        </w:trPr>
        <w:tc>
          <w:tcPr>
            <w:tcW w:w="3377" w:type="dxa"/>
            <w:vAlign w:val="center"/>
          </w:tcPr>
          <w:p w:rsidR="004B3032" w:rsidRPr="000F596E" w:rsidRDefault="004B3032" w:rsidP="007936B5">
            <w:pPr>
              <w:jc w:val="center"/>
              <w:rPr>
                <w:b/>
                <w:sz w:val="22"/>
                <w:szCs w:val="22"/>
              </w:rPr>
            </w:pPr>
            <w:r w:rsidRPr="000F596E">
              <w:rPr>
                <w:b/>
                <w:sz w:val="22"/>
                <w:szCs w:val="22"/>
              </w:rPr>
              <w:t xml:space="preserve">Week 16 – </w:t>
            </w:r>
            <w:r>
              <w:rPr>
                <w:b/>
                <w:sz w:val="22"/>
                <w:szCs w:val="22"/>
              </w:rPr>
              <w:t xml:space="preserve">May </w:t>
            </w:r>
            <w:r w:rsidR="007936B5">
              <w:rPr>
                <w:b/>
                <w:sz w:val="22"/>
                <w:szCs w:val="22"/>
              </w:rPr>
              <w:t>2/4</w:t>
            </w:r>
          </w:p>
        </w:tc>
        <w:tc>
          <w:tcPr>
            <w:tcW w:w="3377" w:type="dxa"/>
            <w:vAlign w:val="center"/>
          </w:tcPr>
          <w:p w:rsidR="004B3032" w:rsidRPr="004C7A6B" w:rsidRDefault="004C7A6B" w:rsidP="004B3032">
            <w:pPr>
              <w:jc w:val="center"/>
              <w:rPr>
                <w:b/>
              </w:rPr>
            </w:pPr>
            <w:r w:rsidRPr="004C7A6B">
              <w:rPr>
                <w:b/>
              </w:rPr>
              <w:t>Final Review</w:t>
            </w:r>
          </w:p>
        </w:tc>
        <w:tc>
          <w:tcPr>
            <w:tcW w:w="3377" w:type="dxa"/>
            <w:vAlign w:val="center"/>
          </w:tcPr>
          <w:p w:rsidR="004B3032" w:rsidRPr="00AE5BF0" w:rsidRDefault="004C7A6B" w:rsidP="004B3032">
            <w:pPr>
              <w:jc w:val="center"/>
              <w:rPr>
                <w:b/>
              </w:rPr>
            </w:pPr>
            <w:r>
              <w:rPr>
                <w:b/>
              </w:rPr>
              <w:t>Final Exam</w:t>
            </w:r>
          </w:p>
        </w:tc>
      </w:tr>
    </w:tbl>
    <w:p w:rsidR="00115334" w:rsidRDefault="00115334">
      <w:pPr>
        <w:rPr>
          <w:rFonts w:ascii="Times New Roman" w:hAnsi="Times New Roman" w:cs="Times New Roman"/>
          <w:b/>
        </w:rPr>
      </w:pPr>
    </w:p>
    <w:p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lastRenderedPageBreak/>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rsidR="00AB114B" w:rsidRDefault="00AB114B" w:rsidP="004B1D52">
      <w:pPr>
        <w:widowControl w:val="0"/>
        <w:ind w:left="360"/>
        <w:rPr>
          <w:rFonts w:ascii="Times New Roman" w:hAnsi="Times New Roman" w:cs="Times New Roman"/>
        </w:rPr>
      </w:pPr>
    </w:p>
    <w:p w:rsidR="00521307" w:rsidRPr="004B1D52" w:rsidRDefault="00521307" w:rsidP="004B1D52">
      <w:pPr>
        <w:widowControl w:val="0"/>
        <w:ind w:left="360"/>
        <w:rPr>
          <w:rFonts w:ascii="Times New Roman" w:hAnsi="Times New Roman" w:cs="Times New Roman"/>
        </w:rPr>
      </w:pPr>
    </w:p>
    <w:tbl>
      <w:tblPr>
        <w:tblW w:w="10234" w:type="dxa"/>
        <w:tblInd w:w="108" w:type="dxa"/>
        <w:tblBorders>
          <w:top w:val="single" w:sz="12" w:space="0" w:color="000000"/>
          <w:bottom w:val="single" w:sz="12" w:space="0" w:color="000000"/>
        </w:tblBorders>
        <w:tblLook w:val="04A0" w:firstRow="1" w:lastRow="0" w:firstColumn="1" w:lastColumn="0" w:noHBand="0" w:noVBand="1"/>
      </w:tblPr>
      <w:tblGrid>
        <w:gridCol w:w="5580"/>
        <w:gridCol w:w="1504"/>
        <w:gridCol w:w="1432"/>
        <w:gridCol w:w="1718"/>
      </w:tblGrid>
      <w:tr w:rsidR="000D0659" w:rsidRPr="004B1D52" w:rsidTr="00521307">
        <w:trPr>
          <w:trHeight w:val="369"/>
        </w:trPr>
        <w:tc>
          <w:tcPr>
            <w:tcW w:w="5580" w:type="dxa"/>
            <w:tcBorders>
              <w:top w:val="single" w:sz="12" w:space="0" w:color="000000"/>
              <w:left w:val="nil"/>
              <w:bottom w:val="single" w:sz="12" w:space="0" w:color="000000"/>
              <w:right w:val="nil"/>
            </w:tcBorders>
            <w:hideMark/>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504"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32"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8" w:type="dxa"/>
            <w:tcBorders>
              <w:top w:val="single" w:sz="12" w:space="0" w:color="000000"/>
              <w:left w:val="nil"/>
              <w:bottom w:val="single" w:sz="12" w:space="0" w:color="000000"/>
              <w:right w:val="nil"/>
            </w:tcBorders>
            <w:hideMark/>
          </w:tcPr>
          <w:p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rsidTr="00521307">
        <w:trPr>
          <w:trHeight w:val="274"/>
        </w:trPr>
        <w:tc>
          <w:tcPr>
            <w:tcW w:w="5580" w:type="dxa"/>
            <w:tcBorders>
              <w:top w:val="single" w:sz="12" w:space="0" w:color="000000"/>
              <w:left w:val="nil"/>
              <w:bottom w:val="single" w:sz="4" w:space="0" w:color="auto"/>
              <w:right w:val="single" w:sz="2" w:space="0" w:color="000000"/>
            </w:tcBorders>
            <w:shd w:val="clear" w:color="auto" w:fill="BFBFBF" w:themeFill="background1" w:themeFillShade="BF"/>
            <w:hideMark/>
          </w:tcPr>
          <w:p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r w:rsidR="00E97D6D">
              <w:rPr>
                <w:rFonts w:asciiTheme="majorHAnsi" w:hAnsiTheme="majorHAnsi" w:cs="Times New Roman"/>
              </w:rPr>
              <w:t>/Discussion Forums</w:t>
            </w:r>
          </w:p>
        </w:tc>
        <w:tc>
          <w:tcPr>
            <w:tcW w:w="1504"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E97D6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3</w:t>
            </w:r>
          </w:p>
        </w:tc>
        <w:tc>
          <w:tcPr>
            <w:tcW w:w="1432"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E97D6D"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w:t>
            </w:r>
          </w:p>
        </w:tc>
        <w:tc>
          <w:tcPr>
            <w:tcW w:w="1718"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E97D6D"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w:t>
            </w:r>
          </w:p>
        </w:tc>
      </w:tr>
      <w:tr w:rsidR="000D0659" w:rsidRPr="004B1D52" w:rsidTr="00521307">
        <w:trPr>
          <w:trHeight w:val="274"/>
        </w:trPr>
        <w:tc>
          <w:tcPr>
            <w:tcW w:w="5580" w:type="dxa"/>
            <w:tcBorders>
              <w:top w:val="single" w:sz="4" w:space="0" w:color="auto"/>
              <w:left w:val="nil"/>
              <w:bottom w:val="single" w:sz="2" w:space="0" w:color="000000"/>
              <w:right w:val="single" w:sz="2" w:space="0" w:color="000000"/>
            </w:tcBorders>
          </w:tcPr>
          <w:p w:rsidR="000D0659" w:rsidRPr="001C6243" w:rsidRDefault="000D0659" w:rsidP="004B1D52">
            <w:pPr>
              <w:spacing w:before="100" w:beforeAutospacing="1" w:after="100" w:afterAutospacing="1"/>
              <w:ind w:left="360"/>
              <w:rPr>
                <w:rFonts w:asciiTheme="majorHAnsi" w:hAnsiTheme="majorHAnsi" w:cs="Times New Roman"/>
              </w:rPr>
            </w:pPr>
          </w:p>
        </w:tc>
        <w:tc>
          <w:tcPr>
            <w:tcW w:w="1504"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4" w:space="0" w:color="auto"/>
              <w:left w:val="single" w:sz="2" w:space="0" w:color="000000"/>
              <w:bottom w:val="single" w:sz="2" w:space="0" w:color="000000"/>
              <w:right w:val="single" w:sz="2" w:space="0" w:color="000000"/>
            </w:tcBorders>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521307">
        <w:trPr>
          <w:trHeight w:val="372"/>
        </w:trPr>
        <w:tc>
          <w:tcPr>
            <w:tcW w:w="5580" w:type="dxa"/>
            <w:tcBorders>
              <w:top w:val="single" w:sz="2" w:space="0" w:color="000000"/>
              <w:left w:val="nil"/>
              <w:bottom w:val="nil"/>
              <w:right w:val="single" w:sz="2" w:space="0" w:color="000000"/>
            </w:tcBorders>
            <w:shd w:val="clear" w:color="auto" w:fill="BFBFBF" w:themeFill="background1" w:themeFillShade="BF"/>
            <w:hideMark/>
          </w:tcPr>
          <w:p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504"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521307">
        <w:trPr>
          <w:trHeight w:val="288"/>
        </w:trPr>
        <w:tc>
          <w:tcPr>
            <w:tcW w:w="5580" w:type="dxa"/>
            <w:tcBorders>
              <w:top w:val="nil"/>
              <w:left w:val="nil"/>
              <w:bottom w:val="nil"/>
              <w:right w:val="single" w:sz="2" w:space="0" w:color="000000"/>
            </w:tcBorders>
          </w:tcPr>
          <w:p w:rsidR="000D0659" w:rsidRPr="001C6243" w:rsidRDefault="00AE5BF0" w:rsidP="00143D39">
            <w:pPr>
              <w:spacing w:before="100" w:beforeAutospacing="1" w:after="100" w:afterAutospacing="1"/>
              <w:ind w:left="342"/>
              <w:rPr>
                <w:rFonts w:asciiTheme="majorHAnsi" w:hAnsiTheme="majorHAnsi" w:cs="Times New Roman"/>
              </w:rPr>
            </w:pPr>
            <w:r>
              <w:rPr>
                <w:rFonts w:asciiTheme="majorHAnsi" w:hAnsiTheme="majorHAnsi" w:cs="Times New Roman"/>
              </w:rPr>
              <w:t>Quizzes</w:t>
            </w:r>
          </w:p>
        </w:tc>
        <w:tc>
          <w:tcPr>
            <w:tcW w:w="1504" w:type="dxa"/>
            <w:tcBorders>
              <w:top w:val="nil"/>
              <w:left w:val="single" w:sz="2" w:space="0" w:color="000000"/>
              <w:bottom w:val="nil"/>
              <w:right w:val="single" w:sz="2" w:space="0" w:color="000000"/>
            </w:tcBorders>
          </w:tcPr>
          <w:p w:rsidR="000D0659" w:rsidRPr="001C6243" w:rsidRDefault="00115334"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4</w:t>
            </w:r>
          </w:p>
        </w:tc>
        <w:tc>
          <w:tcPr>
            <w:tcW w:w="1432" w:type="dxa"/>
            <w:tcBorders>
              <w:top w:val="nil"/>
              <w:left w:val="single" w:sz="2" w:space="0" w:color="000000"/>
              <w:bottom w:val="nil"/>
              <w:right w:val="single" w:sz="2" w:space="0" w:color="000000"/>
            </w:tcBorders>
          </w:tcPr>
          <w:p w:rsidR="000D0659" w:rsidRPr="001C6243" w:rsidRDefault="00E97D6D"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w:t>
            </w:r>
          </w:p>
        </w:tc>
        <w:tc>
          <w:tcPr>
            <w:tcW w:w="1718" w:type="dxa"/>
            <w:tcBorders>
              <w:top w:val="nil"/>
              <w:left w:val="single" w:sz="2" w:space="0" w:color="000000"/>
              <w:bottom w:val="nil"/>
              <w:right w:val="single" w:sz="2" w:space="0" w:color="000000"/>
            </w:tcBorders>
          </w:tcPr>
          <w:p w:rsidR="000D0659" w:rsidRPr="001C6243" w:rsidRDefault="00E97D6D" w:rsidP="00617DDE">
            <w:pPr>
              <w:tabs>
                <w:tab w:val="right" w:pos="636"/>
              </w:tabs>
              <w:spacing w:before="100" w:beforeAutospacing="1" w:after="100" w:afterAutospacing="1"/>
              <w:ind w:left="144"/>
              <w:jc w:val="right"/>
              <w:rPr>
                <w:rFonts w:asciiTheme="majorHAnsi" w:hAnsiTheme="majorHAnsi" w:cs="Times New Roman"/>
              </w:rPr>
            </w:pPr>
            <w:r>
              <w:rPr>
                <w:rFonts w:asciiTheme="majorHAnsi" w:hAnsiTheme="majorHAnsi" w:cs="Times New Roman"/>
              </w:rPr>
              <w:t>100</w:t>
            </w:r>
          </w:p>
        </w:tc>
      </w:tr>
      <w:tr w:rsidR="00E97D6D" w:rsidRPr="004B1D52" w:rsidTr="00521307">
        <w:trPr>
          <w:trHeight w:val="274"/>
        </w:trPr>
        <w:tc>
          <w:tcPr>
            <w:tcW w:w="5580" w:type="dxa"/>
            <w:tcBorders>
              <w:top w:val="nil"/>
              <w:left w:val="nil"/>
              <w:bottom w:val="nil"/>
              <w:right w:val="single" w:sz="2" w:space="0" w:color="000000"/>
            </w:tcBorders>
          </w:tcPr>
          <w:p w:rsidR="00E97D6D" w:rsidRPr="001C6243" w:rsidRDefault="00E97D6D" w:rsidP="00E97D6D">
            <w:pPr>
              <w:spacing w:before="100" w:beforeAutospacing="1" w:after="100" w:afterAutospacing="1"/>
              <w:ind w:left="360"/>
              <w:rPr>
                <w:rFonts w:asciiTheme="majorHAnsi" w:hAnsiTheme="majorHAnsi" w:cs="Times New Roman"/>
              </w:rPr>
            </w:pPr>
            <w:r>
              <w:rPr>
                <w:rFonts w:asciiTheme="majorHAnsi" w:hAnsiTheme="majorHAnsi" w:cs="Times New Roman"/>
              </w:rPr>
              <w:t>Assignments</w:t>
            </w:r>
          </w:p>
        </w:tc>
        <w:tc>
          <w:tcPr>
            <w:tcW w:w="1504" w:type="dxa"/>
            <w:tcBorders>
              <w:top w:val="nil"/>
              <w:left w:val="single" w:sz="2" w:space="0" w:color="000000"/>
              <w:bottom w:val="nil"/>
              <w:right w:val="single" w:sz="2" w:space="0" w:color="000000"/>
            </w:tcBorders>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6</w:t>
            </w:r>
          </w:p>
        </w:tc>
        <w:tc>
          <w:tcPr>
            <w:tcW w:w="1432" w:type="dxa"/>
            <w:tcBorders>
              <w:top w:val="nil"/>
              <w:left w:val="single" w:sz="2" w:space="0" w:color="000000"/>
              <w:bottom w:val="nil"/>
              <w:right w:val="single" w:sz="2" w:space="0" w:color="000000"/>
            </w:tcBorders>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8" w:type="dxa"/>
            <w:tcBorders>
              <w:top w:val="nil"/>
              <w:left w:val="single" w:sz="2" w:space="0" w:color="000000"/>
              <w:bottom w:val="nil"/>
              <w:right w:val="single" w:sz="2" w:space="0" w:color="000000"/>
            </w:tcBorders>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300</w:t>
            </w:r>
          </w:p>
        </w:tc>
      </w:tr>
      <w:tr w:rsidR="00E97D6D" w:rsidRPr="004B1D52" w:rsidTr="004C7A6B">
        <w:trPr>
          <w:trHeight w:val="274"/>
        </w:trPr>
        <w:tc>
          <w:tcPr>
            <w:tcW w:w="5580" w:type="dxa"/>
            <w:tcBorders>
              <w:top w:val="single" w:sz="4" w:space="0" w:color="auto"/>
              <w:left w:val="nil"/>
              <w:bottom w:val="single" w:sz="2" w:space="0" w:color="000000"/>
              <w:right w:val="single" w:sz="2" w:space="0" w:color="000000"/>
            </w:tcBorders>
          </w:tcPr>
          <w:p w:rsidR="00E97D6D" w:rsidRPr="001C6243" w:rsidRDefault="00E97D6D" w:rsidP="00E97D6D">
            <w:pPr>
              <w:spacing w:before="100" w:beforeAutospacing="1" w:after="100" w:afterAutospacing="1"/>
              <w:ind w:left="360"/>
              <w:rPr>
                <w:rFonts w:asciiTheme="majorHAnsi" w:hAnsiTheme="majorHAnsi" w:cs="Times New Roman"/>
              </w:rPr>
            </w:pPr>
          </w:p>
        </w:tc>
        <w:tc>
          <w:tcPr>
            <w:tcW w:w="1504" w:type="dxa"/>
            <w:tcBorders>
              <w:top w:val="single" w:sz="4" w:space="0" w:color="auto"/>
              <w:left w:val="single" w:sz="2" w:space="0" w:color="000000"/>
              <w:bottom w:val="single" w:sz="2" w:space="0" w:color="000000"/>
              <w:right w:val="single" w:sz="2" w:space="0" w:color="000000"/>
            </w:tcBorders>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4" w:space="0" w:color="auto"/>
              <w:left w:val="single" w:sz="2" w:space="0" w:color="000000"/>
              <w:bottom w:val="single" w:sz="2" w:space="0" w:color="000000"/>
              <w:right w:val="single" w:sz="2" w:space="0" w:color="000000"/>
            </w:tcBorders>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p>
        </w:tc>
        <w:tc>
          <w:tcPr>
            <w:tcW w:w="1718" w:type="dxa"/>
            <w:tcBorders>
              <w:top w:val="single" w:sz="4" w:space="0" w:color="auto"/>
              <w:left w:val="single" w:sz="2" w:space="0" w:color="000000"/>
              <w:bottom w:val="single" w:sz="2" w:space="0" w:color="000000"/>
              <w:right w:val="single" w:sz="2" w:space="0" w:color="000000"/>
            </w:tcBorders>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p>
        </w:tc>
      </w:tr>
      <w:tr w:rsidR="00E97D6D" w:rsidRPr="004B1D52" w:rsidTr="00521307">
        <w:trPr>
          <w:trHeight w:val="274"/>
        </w:trPr>
        <w:tc>
          <w:tcPr>
            <w:tcW w:w="5580" w:type="dxa"/>
            <w:tcBorders>
              <w:top w:val="single" w:sz="2" w:space="0" w:color="000000"/>
              <w:left w:val="nil"/>
              <w:bottom w:val="single" w:sz="4" w:space="0" w:color="auto"/>
              <w:right w:val="single" w:sz="2" w:space="0" w:color="000000"/>
            </w:tcBorders>
            <w:shd w:val="clear" w:color="auto" w:fill="BFBFBF" w:themeFill="background1" w:themeFillShade="BF"/>
          </w:tcPr>
          <w:p w:rsidR="00E97D6D" w:rsidRPr="001C6243" w:rsidRDefault="00E97D6D" w:rsidP="00E97D6D">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504"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300</w:t>
            </w:r>
          </w:p>
        </w:tc>
        <w:tc>
          <w:tcPr>
            <w:tcW w:w="1718"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300</w:t>
            </w:r>
          </w:p>
        </w:tc>
      </w:tr>
      <w:tr w:rsidR="00E97D6D" w:rsidRPr="004B1D52" w:rsidTr="00521307">
        <w:trPr>
          <w:trHeight w:val="274"/>
        </w:trPr>
        <w:tc>
          <w:tcPr>
            <w:tcW w:w="5580" w:type="dxa"/>
            <w:tcBorders>
              <w:top w:val="single" w:sz="4" w:space="0" w:color="auto"/>
              <w:left w:val="nil"/>
              <w:bottom w:val="single" w:sz="4" w:space="0" w:color="auto"/>
              <w:right w:val="single" w:sz="2" w:space="0" w:color="000000"/>
            </w:tcBorders>
            <w:shd w:val="clear" w:color="auto" w:fill="BFBFBF" w:themeFill="background1" w:themeFillShade="BF"/>
          </w:tcPr>
          <w:p w:rsidR="00E97D6D" w:rsidRPr="001C6243" w:rsidRDefault="00E97D6D" w:rsidP="00E97D6D">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504"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300</w:t>
            </w:r>
          </w:p>
        </w:tc>
        <w:tc>
          <w:tcPr>
            <w:tcW w:w="1718"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300</w:t>
            </w:r>
          </w:p>
        </w:tc>
      </w:tr>
      <w:tr w:rsidR="00E97D6D" w:rsidRPr="004B1D52" w:rsidTr="00521307">
        <w:trPr>
          <w:trHeight w:val="288"/>
        </w:trPr>
        <w:tc>
          <w:tcPr>
            <w:tcW w:w="5580" w:type="dxa"/>
            <w:tcBorders>
              <w:top w:val="single" w:sz="12" w:space="0" w:color="auto"/>
              <w:left w:val="nil"/>
              <w:bottom w:val="single" w:sz="12" w:space="0" w:color="auto"/>
              <w:right w:val="single" w:sz="2" w:space="0" w:color="000000"/>
            </w:tcBorders>
          </w:tcPr>
          <w:p w:rsidR="00E97D6D" w:rsidRPr="001C6243" w:rsidRDefault="00E97D6D" w:rsidP="00E97D6D">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504" w:type="dxa"/>
            <w:tcBorders>
              <w:top w:val="single" w:sz="12" w:space="0" w:color="auto"/>
              <w:left w:val="single" w:sz="2" w:space="0" w:color="000000"/>
              <w:bottom w:val="single" w:sz="12" w:space="0" w:color="auto"/>
              <w:right w:val="single" w:sz="2" w:space="0" w:color="000000"/>
            </w:tcBorders>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12" w:space="0" w:color="auto"/>
              <w:left w:val="single" w:sz="2" w:space="0" w:color="000000"/>
              <w:bottom w:val="single" w:sz="12" w:space="0" w:color="auto"/>
              <w:right w:val="single" w:sz="2" w:space="0" w:color="000000"/>
            </w:tcBorders>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p>
        </w:tc>
        <w:tc>
          <w:tcPr>
            <w:tcW w:w="1718"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rsidR="00E97D6D" w:rsidRPr="00FB28FF" w:rsidRDefault="00E97D6D" w:rsidP="007936B5">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w:t>
            </w:r>
            <w:r w:rsidR="007936B5">
              <w:rPr>
                <w:rFonts w:asciiTheme="majorHAnsi" w:hAnsiTheme="majorHAnsi" w:cs="Times New Roman"/>
                <w:b/>
              </w:rPr>
              <w:t>30</w:t>
            </w:r>
          </w:p>
        </w:tc>
      </w:tr>
    </w:tbl>
    <w:p w:rsidR="00FB28FF" w:rsidRDefault="00FB28FF" w:rsidP="00A33282">
      <w:pPr>
        <w:widowControl w:val="0"/>
        <w:rPr>
          <w:rFonts w:ascii="Times New Roman" w:hAnsi="Times New Roman" w:cs="Times New Roman"/>
        </w:rPr>
      </w:pPr>
    </w:p>
    <w:p w:rsidR="005B04B1" w:rsidRDefault="005B04B1" w:rsidP="00A33282">
      <w:pPr>
        <w:widowControl w:val="0"/>
        <w:rPr>
          <w:rFonts w:ascii="Times New Roman" w:hAnsi="Times New Roman" w:cs="Times New Roman"/>
        </w:rPr>
      </w:pPr>
    </w:p>
    <w:p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1893"/>
        <w:gridCol w:w="1006"/>
      </w:tblGrid>
      <w:tr w:rsidR="00773C6F" w:rsidTr="00423C4F">
        <w:trPr>
          <w:trHeight w:val="756"/>
          <w:jc w:val="center"/>
        </w:trPr>
        <w:tc>
          <w:tcPr>
            <w:tcW w:w="1893" w:type="dxa"/>
          </w:tcPr>
          <w:p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1006" w:type="dxa"/>
          </w:tcPr>
          <w:p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rsidTr="00423C4F">
        <w:trPr>
          <w:trHeight w:val="368"/>
          <w:jc w:val="center"/>
        </w:trPr>
        <w:tc>
          <w:tcPr>
            <w:tcW w:w="1893"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1006"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rsidTr="00423C4F">
        <w:trPr>
          <w:trHeight w:val="368"/>
          <w:jc w:val="center"/>
        </w:trPr>
        <w:tc>
          <w:tcPr>
            <w:tcW w:w="1893"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1006"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rsidTr="00423C4F">
        <w:trPr>
          <w:trHeight w:val="368"/>
          <w:jc w:val="center"/>
        </w:trPr>
        <w:tc>
          <w:tcPr>
            <w:tcW w:w="1893"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1006"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rsidTr="00423C4F">
        <w:trPr>
          <w:trHeight w:val="368"/>
          <w:jc w:val="center"/>
        </w:trPr>
        <w:tc>
          <w:tcPr>
            <w:tcW w:w="1893"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1006"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rsidTr="00423C4F">
        <w:trPr>
          <w:trHeight w:val="48"/>
          <w:jc w:val="center"/>
        </w:trPr>
        <w:tc>
          <w:tcPr>
            <w:tcW w:w="1893"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1006"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rsidR="00617DDE" w:rsidRDefault="00617DDE" w:rsidP="002D7E8E">
      <w:pPr>
        <w:pStyle w:val="Heading2"/>
        <w:rPr>
          <w:b/>
        </w:rPr>
      </w:pPr>
      <w:r>
        <w:rPr>
          <w:b/>
        </w:rPr>
        <w:t>Class Participation:</w:t>
      </w:r>
    </w:p>
    <w:p w:rsidR="00617DDE" w:rsidRPr="00533DA0" w:rsidRDefault="00617DDE" w:rsidP="00617DDE">
      <w:pPr>
        <w:tabs>
          <w:tab w:val="left" w:pos="360"/>
          <w:tab w:val="left" w:pos="2880"/>
        </w:tabs>
        <w:ind w:left="360"/>
        <w:rPr>
          <w:rFonts w:ascii="Times New Roman" w:hAnsi="Times New Roman" w:cs="Times New Roman"/>
          <w:b/>
        </w:rPr>
      </w:pPr>
      <w:r>
        <w:rPr>
          <w:rFonts w:ascii="Times New Roman" w:hAnsi="Times New Roman" w:cs="Times New Roman"/>
          <w:b/>
        </w:rPr>
        <w:t xml:space="preserve">In-Class Meetings </w:t>
      </w:r>
    </w:p>
    <w:p w:rsidR="00617DDE" w:rsidRDefault="00617DDE" w:rsidP="00617DDE">
      <w:pPr>
        <w:tabs>
          <w:tab w:val="left" w:pos="360"/>
          <w:tab w:val="left" w:pos="2880"/>
        </w:tabs>
        <w:rPr>
          <w:rFonts w:ascii="Times New Roman" w:hAnsi="Times New Roman" w:cs="Times New Roman"/>
          <w:b/>
        </w:rPr>
      </w:pPr>
      <w:r w:rsidRPr="00533DA0">
        <w:rPr>
          <w:rFonts w:ascii="Times New Roman" w:hAnsi="Times New Roman" w:cs="Times New Roman"/>
          <w:b/>
        </w:rPr>
        <w:tab/>
      </w:r>
    </w:p>
    <w:p w:rsidR="00617DDE" w:rsidRDefault="00115334" w:rsidP="00617DDE">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 primary measure of a student’s participation in class will be their attendance at the scheduled lectures and their completion of the assignments.  Role will be taken each day at the beginning of class.  Late arrival will result in a </w:t>
      </w:r>
      <w:proofErr w:type="gramStart"/>
      <w:r>
        <w:rPr>
          <w:rFonts w:ascii="Times New Roman" w:hAnsi="Times New Roman"/>
          <w:bCs/>
          <w:sz w:val="24"/>
          <w:szCs w:val="24"/>
        </w:rPr>
        <w:t>points</w:t>
      </w:r>
      <w:proofErr w:type="gramEnd"/>
      <w:r>
        <w:rPr>
          <w:rFonts w:ascii="Times New Roman" w:hAnsi="Times New Roman"/>
          <w:bCs/>
          <w:sz w:val="24"/>
          <w:szCs w:val="24"/>
        </w:rPr>
        <w:t xml:space="preserve"> deduction.  Participation in in-class discussions is also strongly encouraged and will be reflected in a student’s overall participation grade, however only the failure to attend class or complete assignments will negatively affect a student’s participation grade. </w:t>
      </w:r>
    </w:p>
    <w:p w:rsidR="00C64451" w:rsidRPr="002D7E8E" w:rsidRDefault="00521307" w:rsidP="002D7E8E">
      <w:pPr>
        <w:pStyle w:val="Heading2"/>
        <w:rPr>
          <w:b/>
        </w:rPr>
      </w:pPr>
      <w:r>
        <w:rPr>
          <w:b/>
        </w:rPr>
        <w:t>T</w:t>
      </w:r>
      <w:r w:rsidR="002478E8" w:rsidRPr="002D7E8E">
        <w:rPr>
          <w:b/>
        </w:rPr>
        <w:t>ests/Exams:</w:t>
      </w:r>
    </w:p>
    <w:p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E97D6D">
        <w:rPr>
          <w:rFonts w:ascii="Times New Roman" w:hAnsi="Times New Roman" w:cs="Times New Roman"/>
          <w:b/>
        </w:rPr>
        <w:t>March 13, 2022</w:t>
      </w:r>
      <w:r w:rsidRPr="00533DA0">
        <w:rPr>
          <w:rFonts w:ascii="Times New Roman" w:hAnsi="Times New Roman" w:cs="Times New Roman"/>
          <w:b/>
        </w:rPr>
        <w:t xml:space="preserve"> </w:t>
      </w:r>
      <w:r w:rsidR="00E97D6D">
        <w:rPr>
          <w:rFonts w:ascii="Times New Roman" w:hAnsi="Times New Roman" w:cs="Times New Roman"/>
          <w:b/>
        </w:rPr>
        <w:t>@ 11:59 PM</w:t>
      </w:r>
    </w:p>
    <w:p w:rsidR="00A65ACB" w:rsidRDefault="00533DA0" w:rsidP="003525B9">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E97D6D">
        <w:rPr>
          <w:rFonts w:ascii="Times New Roman" w:hAnsi="Times New Roman" w:cs="Times New Roman"/>
          <w:b/>
        </w:rPr>
        <w:t>May 12, 2022 @ 11:59 PM</w:t>
      </w:r>
    </w:p>
    <w:p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423C4F">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xml:space="preserve">, </w:t>
      </w:r>
      <w:r w:rsidR="00617DDE">
        <w:rPr>
          <w:rFonts w:ascii="Times New Roman" w:hAnsi="Times New Roman"/>
          <w:bCs/>
          <w:sz w:val="24"/>
          <w:szCs w:val="24"/>
        </w:rPr>
        <w:t xml:space="preserve">two </w:t>
      </w:r>
      <w:r w:rsidR="009D144F">
        <w:rPr>
          <w:rFonts w:ascii="Times New Roman" w:hAnsi="Times New Roman"/>
          <w:bCs/>
          <w:sz w:val="24"/>
          <w:szCs w:val="24"/>
        </w:rPr>
        <w:t>quizzes</w:t>
      </w:r>
      <w:r w:rsidR="00617DDE">
        <w:rPr>
          <w:rFonts w:ascii="Times New Roman" w:hAnsi="Times New Roman"/>
          <w:bCs/>
          <w:sz w:val="24"/>
          <w:szCs w:val="24"/>
        </w:rPr>
        <w:t xml:space="preserve">, </w:t>
      </w:r>
      <w:r w:rsidRPr="004B1D52">
        <w:rPr>
          <w:rFonts w:ascii="Times New Roman" w:hAnsi="Times New Roman"/>
          <w:bCs/>
          <w:sz w:val="24"/>
          <w:szCs w:val="24"/>
        </w:rPr>
        <w:t>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 xml:space="preserve">If you have a conflict with the </w:t>
      </w:r>
      <w:r w:rsidR="00ED6355" w:rsidRPr="004B1D52">
        <w:rPr>
          <w:rFonts w:ascii="Times New Roman" w:hAnsi="Times New Roman"/>
          <w:b/>
          <w:bCs/>
          <w:sz w:val="24"/>
          <w:szCs w:val="24"/>
        </w:rPr>
        <w:lastRenderedPageBreak/>
        <w:t>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rsidR="00617DDE" w:rsidRDefault="00617DDE">
      <w:pPr>
        <w:rPr>
          <w:rFonts w:ascii="Times New Roman" w:hAnsi="Times New Roman" w:cs="Times New Roman"/>
          <w:b/>
          <w:sz w:val="28"/>
          <w:szCs w:val="28"/>
        </w:rPr>
      </w:pPr>
    </w:p>
    <w:p w:rsidR="00C64451" w:rsidRPr="002D7E8E" w:rsidRDefault="00C64451">
      <w:pPr>
        <w:rPr>
          <w:rFonts w:ascii="Times New Roman" w:hAnsi="Times New Roman" w:cs="Times New Roman"/>
          <w:b/>
          <w:sz w:val="28"/>
          <w:szCs w:val="28"/>
        </w:rPr>
      </w:pPr>
      <w:r w:rsidRPr="002D7E8E">
        <w:rPr>
          <w:rFonts w:ascii="Times New Roman" w:hAnsi="Times New Roman" w:cs="Times New Roman"/>
          <w:b/>
          <w:sz w:val="28"/>
          <w:szCs w:val="28"/>
        </w:rPr>
        <w:t>Assignments:</w:t>
      </w:r>
    </w:p>
    <w:p w:rsidR="00CE47CB" w:rsidRPr="00617DDE" w:rsidRDefault="00FF5220" w:rsidP="004B1D52">
      <w:pPr>
        <w:pStyle w:val="Heading2"/>
        <w:ind w:left="360"/>
        <w:rPr>
          <w:rFonts w:ascii="Times New Roman" w:hAnsi="Times New Roman"/>
          <w:b/>
        </w:rPr>
      </w:pPr>
      <w:r>
        <w:rPr>
          <w:rFonts w:ascii="Times New Roman" w:hAnsi="Times New Roman"/>
          <w:b/>
        </w:rPr>
        <w:t>Quizzes</w:t>
      </w:r>
      <w:r w:rsidR="00CE47CB" w:rsidRPr="00617DDE">
        <w:rPr>
          <w:rFonts w:ascii="Times New Roman" w:hAnsi="Times New Roman"/>
          <w:b/>
        </w:rPr>
        <w:t>:</w:t>
      </w:r>
    </w:p>
    <w:p w:rsidR="002D7E8E" w:rsidRDefault="002D7E8E"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will be </w:t>
      </w:r>
      <w:r w:rsidR="00FF5220">
        <w:rPr>
          <w:rFonts w:ascii="Times New Roman" w:hAnsi="Times New Roman"/>
          <w:bCs/>
          <w:sz w:val="24"/>
          <w:szCs w:val="24"/>
        </w:rPr>
        <w:t xml:space="preserve">4 In-Class quizzes for this course.  Each quiz will cover the material that has been introduced up to that point in the course.  Each quiz will be worth </w:t>
      </w:r>
      <w:r w:rsidR="00E97D6D">
        <w:rPr>
          <w:rFonts w:ascii="Times New Roman" w:hAnsi="Times New Roman"/>
          <w:bCs/>
          <w:sz w:val="24"/>
          <w:szCs w:val="24"/>
        </w:rPr>
        <w:t>25</w:t>
      </w:r>
      <w:r w:rsidR="00FF5220">
        <w:rPr>
          <w:rFonts w:ascii="Times New Roman" w:hAnsi="Times New Roman"/>
          <w:bCs/>
          <w:sz w:val="24"/>
          <w:szCs w:val="24"/>
        </w:rPr>
        <w:t xml:space="preserve"> points of your total grade and a total of </w:t>
      </w:r>
      <w:r w:rsidR="00E97D6D">
        <w:rPr>
          <w:rFonts w:ascii="Times New Roman" w:hAnsi="Times New Roman"/>
          <w:bCs/>
          <w:sz w:val="24"/>
          <w:szCs w:val="24"/>
        </w:rPr>
        <w:t>100</w:t>
      </w:r>
      <w:r w:rsidR="00FF5220">
        <w:rPr>
          <w:rFonts w:ascii="Times New Roman" w:hAnsi="Times New Roman"/>
          <w:bCs/>
          <w:sz w:val="24"/>
          <w:szCs w:val="24"/>
        </w:rPr>
        <w:t xml:space="preserve"> of the 1000 possible points for this course.</w:t>
      </w:r>
    </w:p>
    <w:p w:rsidR="00215E8B" w:rsidRPr="00617DDE" w:rsidRDefault="00E97D6D" w:rsidP="00215E8B">
      <w:pPr>
        <w:pStyle w:val="Heading2"/>
        <w:ind w:left="360"/>
        <w:rPr>
          <w:rFonts w:ascii="Times New Roman" w:hAnsi="Times New Roman"/>
          <w:b/>
        </w:rPr>
      </w:pPr>
      <w:proofErr w:type="spellStart"/>
      <w:r>
        <w:rPr>
          <w:rFonts w:ascii="Times New Roman" w:hAnsi="Times New Roman"/>
          <w:b/>
        </w:rPr>
        <w:t>BlackBoard</w:t>
      </w:r>
      <w:proofErr w:type="spellEnd"/>
      <w:r w:rsidR="00FF5220">
        <w:rPr>
          <w:rFonts w:ascii="Times New Roman" w:hAnsi="Times New Roman"/>
          <w:b/>
        </w:rPr>
        <w:t xml:space="preserve"> Assignment</w:t>
      </w:r>
      <w:r w:rsidR="00215E8B" w:rsidRPr="00617DDE">
        <w:rPr>
          <w:rFonts w:ascii="Times New Roman" w:hAnsi="Times New Roman"/>
          <w:b/>
        </w:rPr>
        <w:t>:</w:t>
      </w:r>
    </w:p>
    <w:p w:rsidR="00215E8B" w:rsidRDefault="00FF5220" w:rsidP="00215E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This course will require the students to complete </w:t>
      </w:r>
      <w:proofErr w:type="spellStart"/>
      <w:r w:rsidR="00E97D6D">
        <w:rPr>
          <w:rFonts w:ascii="Times New Roman" w:hAnsi="Times New Roman"/>
          <w:bCs/>
          <w:sz w:val="24"/>
          <w:szCs w:val="24"/>
        </w:rPr>
        <w:t>assugnments</w:t>
      </w:r>
      <w:proofErr w:type="spellEnd"/>
      <w:r w:rsidR="00E97D6D">
        <w:rPr>
          <w:rFonts w:ascii="Times New Roman" w:hAnsi="Times New Roman"/>
          <w:bCs/>
          <w:sz w:val="24"/>
          <w:szCs w:val="24"/>
        </w:rPr>
        <w:t xml:space="preserve"> in the </w:t>
      </w:r>
      <w:proofErr w:type="spellStart"/>
      <w:r w:rsidR="00E97D6D">
        <w:rPr>
          <w:rFonts w:ascii="Times New Roman" w:hAnsi="Times New Roman"/>
          <w:bCs/>
          <w:sz w:val="24"/>
          <w:szCs w:val="24"/>
        </w:rPr>
        <w:t>BlackBoard</w:t>
      </w:r>
      <w:proofErr w:type="spellEnd"/>
      <w:r w:rsidR="00E97D6D">
        <w:rPr>
          <w:rFonts w:ascii="Times New Roman" w:hAnsi="Times New Roman"/>
          <w:bCs/>
          <w:sz w:val="24"/>
          <w:szCs w:val="24"/>
        </w:rPr>
        <w:t xml:space="preserve"> e-learning environment.  Each assignment will be worth 50 points and will account for 30% of the possible points for this course.</w:t>
      </w:r>
    </w:p>
    <w:p w:rsidR="00D93CB3" w:rsidRPr="00624141" w:rsidRDefault="00D93CB3" w:rsidP="004B1D52">
      <w:pPr>
        <w:pStyle w:val="BodyTextIndent"/>
        <w:tabs>
          <w:tab w:val="left" w:pos="720"/>
          <w:tab w:val="center" w:pos="5400"/>
        </w:tabs>
        <w:rPr>
          <w:rFonts w:ascii="Times New Roman" w:hAnsi="Times New Roman"/>
          <w:b/>
          <w:bCs/>
          <w:sz w:val="24"/>
          <w:szCs w:val="24"/>
          <w:u w:val="single"/>
        </w:rPr>
      </w:pPr>
      <w:r w:rsidRPr="00624141">
        <w:rPr>
          <w:rFonts w:ascii="Times New Roman" w:hAnsi="Times New Roman"/>
          <w:b/>
          <w:bCs/>
          <w:sz w:val="24"/>
          <w:szCs w:val="24"/>
          <w:u w:val="single"/>
        </w:rPr>
        <w:t xml:space="preserve">The instructor reserves the right to modify the topics to be covered in order to best prepare the student with </w:t>
      </w:r>
      <w:r w:rsidR="00D60764" w:rsidRPr="00624141">
        <w:rPr>
          <w:rFonts w:ascii="Times New Roman" w:hAnsi="Times New Roman"/>
          <w:b/>
          <w:bCs/>
          <w:sz w:val="24"/>
          <w:szCs w:val="24"/>
          <w:u w:val="single"/>
        </w:rPr>
        <w:t>the above stated learning outcomes</w:t>
      </w:r>
      <w:r w:rsidRPr="00624141">
        <w:rPr>
          <w:rFonts w:ascii="Times New Roman" w:hAnsi="Times New Roman"/>
          <w:b/>
          <w:bCs/>
          <w:sz w:val="24"/>
          <w:szCs w:val="24"/>
          <w:u w:val="single"/>
        </w:rPr>
        <w:t>.</w:t>
      </w:r>
      <w:r w:rsidR="00D60764" w:rsidRPr="00624141">
        <w:rPr>
          <w:rFonts w:ascii="Times New Roman" w:hAnsi="Times New Roman"/>
          <w:b/>
          <w:bCs/>
          <w:sz w:val="24"/>
          <w:szCs w:val="24"/>
          <w:u w:val="single"/>
        </w:rPr>
        <w:t xml:space="preserve">  </w:t>
      </w:r>
    </w:p>
    <w:p w:rsidR="003E542F" w:rsidRPr="004B1D52" w:rsidRDefault="003E542F">
      <w:pPr>
        <w:rPr>
          <w:rFonts w:ascii="Times New Roman" w:hAnsi="Times New Roman" w:cs="Times New Roman"/>
        </w:rPr>
      </w:pPr>
    </w:p>
    <w:p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rsidR="00DD1736" w:rsidRPr="004B1D52" w:rsidRDefault="00DD1736" w:rsidP="003E542F">
      <w:pPr>
        <w:rPr>
          <w:rFonts w:ascii="Times New Roman" w:hAnsi="Times New Roman" w:cs="Times New Roman"/>
          <w:b/>
        </w:rPr>
      </w:pPr>
    </w:p>
    <w:p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00A812E0">
        <w:rPr>
          <w:rFonts w:ascii="Times New Roman" w:hAnsi="Times New Roman" w:cs="Times New Roman"/>
        </w:rPr>
        <w:t xml:space="preserve"> </w:t>
      </w:r>
      <w:r w:rsidR="00763BAF">
        <w:rPr>
          <w:rFonts w:ascii="Times New Roman" w:hAnsi="Times New Roman" w:cs="Times New Roman"/>
        </w:rPr>
        <w:t>Students’ participation grade (50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w:t>
      </w:r>
      <w:r w:rsidR="00FF5220">
        <w:rPr>
          <w:rFonts w:ascii="Times New Roman" w:hAnsi="Times New Roman" w:cs="Times New Roman"/>
        </w:rPr>
        <w:t>class attendance</w:t>
      </w:r>
      <w:proofErr w:type="gramStart"/>
      <w:r w:rsidR="00FF5220">
        <w:rPr>
          <w:rFonts w:ascii="Times New Roman" w:hAnsi="Times New Roman" w:cs="Times New Roman"/>
        </w:rPr>
        <w:t>.</w:t>
      </w:r>
      <w:r w:rsidR="00A812E0">
        <w:rPr>
          <w:rFonts w:ascii="Times New Roman" w:hAnsi="Times New Roman" w:cs="Times New Roman"/>
        </w:rPr>
        <w:t>.</w:t>
      </w:r>
      <w:proofErr w:type="gramEnd"/>
      <w:r w:rsidR="00A812E0">
        <w:rPr>
          <w:rFonts w:ascii="Times New Roman" w:hAnsi="Times New Roman" w:cs="Times New Roman"/>
        </w:rPr>
        <w:t xml:space="preserve"> </w:t>
      </w:r>
      <w:r w:rsidRPr="004B1D52">
        <w:rPr>
          <w:rFonts w:ascii="Times New Roman" w:hAnsi="Times New Roman" w:cs="Times New Roman"/>
        </w:rPr>
        <w:t xml:space="preserve">  </w:t>
      </w:r>
    </w:p>
    <w:p w:rsidR="00A812E0" w:rsidRDefault="00A812E0" w:rsidP="004B1D52">
      <w:pPr>
        <w:ind w:left="360"/>
        <w:rPr>
          <w:rFonts w:ascii="Times New Roman" w:hAnsi="Times New Roman" w:cs="Times New Roman"/>
        </w:rPr>
      </w:pPr>
    </w:p>
    <w:p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w:t>
      </w:r>
      <w:r w:rsidR="00E97D6D">
        <w:rPr>
          <w:rFonts w:ascii="Times New Roman" w:hAnsi="Times New Roman" w:cs="Times New Roman"/>
        </w:rPr>
        <w:t xml:space="preserve"> for a student to drop a course </w:t>
      </w:r>
      <w:r w:rsidRPr="004B1D52">
        <w:rPr>
          <w:rFonts w:ascii="Times New Roman" w:hAnsi="Times New Roman" w:cs="Times New Roman"/>
        </w:rPr>
        <w:t xml:space="preserve">with a grade of "W" is </w:t>
      </w:r>
      <w:r w:rsidR="00743B83">
        <w:rPr>
          <w:rFonts w:ascii="Times New Roman" w:hAnsi="Times New Roman" w:cs="Times New Roman"/>
          <w:b/>
        </w:rPr>
        <w:t xml:space="preserve">Tuesday, </w:t>
      </w:r>
      <w:r w:rsidR="00E97D6D">
        <w:rPr>
          <w:rFonts w:ascii="Times New Roman" w:hAnsi="Times New Roman" w:cs="Times New Roman"/>
          <w:b/>
        </w:rPr>
        <w:t>April 7, 2022</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rsidR="00DD1736" w:rsidRPr="004B1D52" w:rsidRDefault="00DD1736" w:rsidP="00DD1736">
      <w:pPr>
        <w:widowControl w:val="0"/>
        <w:rPr>
          <w:rFonts w:ascii="Times New Roman" w:hAnsi="Times New Roman" w:cs="Times New Roman"/>
          <w:i/>
        </w:rPr>
      </w:pPr>
    </w:p>
    <w:p w:rsidR="009D144F" w:rsidRDefault="009D144F" w:rsidP="004B1D52">
      <w:pPr>
        <w:widowControl w:val="0"/>
        <w:ind w:left="360"/>
        <w:rPr>
          <w:rFonts w:ascii="Times New Roman" w:hAnsi="Times New Roman" w:cs="Times New Roman"/>
          <w:i/>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rsidR="00DD1736" w:rsidRPr="004B1D52" w:rsidRDefault="00DD1736" w:rsidP="00DD1736">
      <w:pPr>
        <w:widowControl w:val="0"/>
        <w:rPr>
          <w:rFonts w:ascii="Times New Roman" w:hAnsi="Times New Roman" w:cs="Times New Roman"/>
        </w:rPr>
      </w:pPr>
    </w:p>
    <w:p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rsidR="001D4CD5" w:rsidRPr="004B1D52" w:rsidRDefault="001D4CD5" w:rsidP="001D4CD5">
      <w:pPr>
        <w:pStyle w:val="PlainText"/>
        <w:rPr>
          <w:rFonts w:ascii="Times New Roman" w:hAnsi="Times New Roman"/>
          <w:b/>
        </w:rPr>
      </w:pPr>
    </w:p>
    <w:p w:rsidR="00624141" w:rsidRDefault="00624141" w:rsidP="001D4CD5">
      <w:pPr>
        <w:pStyle w:val="Footer"/>
        <w:rPr>
          <w:b/>
          <w:bCs/>
          <w:szCs w:val="20"/>
        </w:rPr>
      </w:pPr>
    </w:p>
    <w:p w:rsidR="00624141" w:rsidRDefault="00624141" w:rsidP="001D4CD5">
      <w:pPr>
        <w:pStyle w:val="Footer"/>
        <w:rPr>
          <w:b/>
          <w:bCs/>
          <w:szCs w:val="20"/>
        </w:rPr>
      </w:pPr>
    </w:p>
    <w:p w:rsidR="00624141" w:rsidRDefault="00624141" w:rsidP="001D4CD5">
      <w:pPr>
        <w:pStyle w:val="Footer"/>
        <w:rPr>
          <w:b/>
          <w:bCs/>
          <w:szCs w:val="20"/>
        </w:rPr>
      </w:pPr>
    </w:p>
    <w:p w:rsidR="001D4CD5" w:rsidRPr="004B1D52" w:rsidRDefault="001D4CD5" w:rsidP="001D4CD5">
      <w:pPr>
        <w:pStyle w:val="Footer"/>
        <w:rPr>
          <w:b/>
          <w:bCs/>
          <w:szCs w:val="20"/>
        </w:rPr>
      </w:pPr>
      <w:r w:rsidRPr="004B1D52">
        <w:rPr>
          <w:b/>
          <w:bCs/>
          <w:szCs w:val="20"/>
        </w:rPr>
        <w:t>Academic Ethics</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lastRenderedPageBreak/>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B1D52" w:rsidRDefault="0024549D" w:rsidP="00C35A15">
      <w:pPr>
        <w:rPr>
          <w:rFonts w:ascii="Times New Roman" w:hAnsi="Times New Roman" w:cs="Times New Roman"/>
        </w:rPr>
      </w:pPr>
    </w:p>
    <w:p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rsidR="00DE1543" w:rsidRDefault="00DE1543" w:rsidP="004B1D52">
      <w:pPr>
        <w:ind w:left="360"/>
        <w:rPr>
          <w:rFonts w:ascii="Times New Roman" w:hAnsi="Times New Roman" w:cs="Times New Roman"/>
          <w:szCs w:val="32"/>
        </w:rPr>
      </w:pPr>
    </w:p>
    <w:p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B1D52" w:rsidRDefault="0024549D" w:rsidP="00C35A15">
      <w:pPr>
        <w:rPr>
          <w:rFonts w:ascii="Times New Roman" w:hAnsi="Times New Roman" w:cs="Times New Roman"/>
          <w:color w:val="313131"/>
          <w:szCs w:val="32"/>
        </w:rPr>
      </w:pPr>
    </w:p>
    <w:p w:rsidR="00A812E0" w:rsidRDefault="00A812E0" w:rsidP="004B1D52">
      <w:pPr>
        <w:rPr>
          <w:rFonts w:ascii="Times New Roman" w:hAnsi="Times New Roman" w:cs="Times New Roman"/>
          <w:b/>
          <w:bCs/>
        </w:rPr>
      </w:pPr>
    </w:p>
    <w:p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rsidR="00DE1543" w:rsidRDefault="00DE1543" w:rsidP="00CB6438">
      <w:pPr>
        <w:ind w:left="360"/>
        <w:rPr>
          <w:rFonts w:ascii="Times New Roman" w:hAnsi="Times New Roman" w:cs="Times New Roman"/>
          <w:bCs/>
        </w:rPr>
      </w:pPr>
    </w:p>
    <w:p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75690A"/>
    <w:multiLevelType w:val="hybridMultilevel"/>
    <w:tmpl w:val="CB1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5"/>
  </w:num>
  <w:num w:numId="5">
    <w:abstractNumId w:val="8"/>
  </w:num>
  <w:num w:numId="6">
    <w:abstractNumId w:val="14"/>
  </w:num>
  <w:num w:numId="7">
    <w:abstractNumId w:val="20"/>
  </w:num>
  <w:num w:numId="8">
    <w:abstractNumId w:val="18"/>
  </w:num>
  <w:num w:numId="9">
    <w:abstractNumId w:val="13"/>
  </w:num>
  <w:num w:numId="10">
    <w:abstractNumId w:val="12"/>
  </w:num>
  <w:num w:numId="11">
    <w:abstractNumId w:val="1"/>
  </w:num>
  <w:num w:numId="12">
    <w:abstractNumId w:val="4"/>
  </w:num>
  <w:num w:numId="13">
    <w:abstractNumId w:val="6"/>
  </w:num>
  <w:num w:numId="14">
    <w:abstractNumId w:val="22"/>
  </w:num>
  <w:num w:numId="15">
    <w:abstractNumId w:val="5"/>
  </w:num>
  <w:num w:numId="16">
    <w:abstractNumId w:val="23"/>
  </w:num>
  <w:num w:numId="17">
    <w:abstractNumId w:val="17"/>
  </w:num>
  <w:num w:numId="18">
    <w:abstractNumId w:val="24"/>
  </w:num>
  <w:num w:numId="19">
    <w:abstractNumId w:val="7"/>
  </w:num>
  <w:num w:numId="20">
    <w:abstractNumId w:val="19"/>
  </w:num>
  <w:num w:numId="21">
    <w:abstractNumId w:val="2"/>
  </w:num>
  <w:num w:numId="22">
    <w:abstractNumId w:val="15"/>
  </w:num>
  <w:num w:numId="23">
    <w:abstractNumId w:val="21"/>
  </w:num>
  <w:num w:numId="24">
    <w:abstractNumId w:val="1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67E8"/>
    <w:rsid w:val="00061075"/>
    <w:rsid w:val="000618CE"/>
    <w:rsid w:val="00064EDC"/>
    <w:rsid w:val="000858AC"/>
    <w:rsid w:val="000B2B8B"/>
    <w:rsid w:val="000B5055"/>
    <w:rsid w:val="000C03CB"/>
    <w:rsid w:val="000D0659"/>
    <w:rsid w:val="000D763D"/>
    <w:rsid w:val="000E005E"/>
    <w:rsid w:val="000E39A7"/>
    <w:rsid w:val="00101CF1"/>
    <w:rsid w:val="00115334"/>
    <w:rsid w:val="00121692"/>
    <w:rsid w:val="001410A3"/>
    <w:rsid w:val="00143D39"/>
    <w:rsid w:val="00151D85"/>
    <w:rsid w:val="001623AB"/>
    <w:rsid w:val="00182E7E"/>
    <w:rsid w:val="001A7DDD"/>
    <w:rsid w:val="001B1D1F"/>
    <w:rsid w:val="001C0F44"/>
    <w:rsid w:val="001C1F60"/>
    <w:rsid w:val="001C6243"/>
    <w:rsid w:val="001D01ED"/>
    <w:rsid w:val="001D4CD5"/>
    <w:rsid w:val="001E1926"/>
    <w:rsid w:val="001E560F"/>
    <w:rsid w:val="001F0C30"/>
    <w:rsid w:val="001F6CEA"/>
    <w:rsid w:val="00215E8B"/>
    <w:rsid w:val="00224024"/>
    <w:rsid w:val="002254DA"/>
    <w:rsid w:val="00235C05"/>
    <w:rsid w:val="0024549D"/>
    <w:rsid w:val="00246828"/>
    <w:rsid w:val="002478E8"/>
    <w:rsid w:val="002530ED"/>
    <w:rsid w:val="002647F0"/>
    <w:rsid w:val="00281538"/>
    <w:rsid w:val="00290D26"/>
    <w:rsid w:val="002A5A6F"/>
    <w:rsid w:val="002B1301"/>
    <w:rsid w:val="002B3C6D"/>
    <w:rsid w:val="002C33E7"/>
    <w:rsid w:val="002C7BA6"/>
    <w:rsid w:val="002D56F3"/>
    <w:rsid w:val="002D5EAF"/>
    <w:rsid w:val="002D7E8E"/>
    <w:rsid w:val="002E1AB5"/>
    <w:rsid w:val="002E25C2"/>
    <w:rsid w:val="002E4DC5"/>
    <w:rsid w:val="002F5D4B"/>
    <w:rsid w:val="003120CF"/>
    <w:rsid w:val="00314B81"/>
    <w:rsid w:val="00315932"/>
    <w:rsid w:val="00317022"/>
    <w:rsid w:val="00317416"/>
    <w:rsid w:val="00340482"/>
    <w:rsid w:val="003525B9"/>
    <w:rsid w:val="00373510"/>
    <w:rsid w:val="0037637D"/>
    <w:rsid w:val="00377901"/>
    <w:rsid w:val="00384F70"/>
    <w:rsid w:val="003B2201"/>
    <w:rsid w:val="003E1E8C"/>
    <w:rsid w:val="003E542F"/>
    <w:rsid w:val="003F3B9F"/>
    <w:rsid w:val="00400128"/>
    <w:rsid w:val="00407E22"/>
    <w:rsid w:val="00420BAC"/>
    <w:rsid w:val="00423C4F"/>
    <w:rsid w:val="004270F9"/>
    <w:rsid w:val="004354D2"/>
    <w:rsid w:val="004500FD"/>
    <w:rsid w:val="0045252F"/>
    <w:rsid w:val="004567A8"/>
    <w:rsid w:val="004614F7"/>
    <w:rsid w:val="00471EC3"/>
    <w:rsid w:val="00494F5F"/>
    <w:rsid w:val="004A0140"/>
    <w:rsid w:val="004B1D52"/>
    <w:rsid w:val="004B3032"/>
    <w:rsid w:val="004C7A6B"/>
    <w:rsid w:val="004E65A1"/>
    <w:rsid w:val="005005BB"/>
    <w:rsid w:val="00502D1A"/>
    <w:rsid w:val="0050308F"/>
    <w:rsid w:val="00505B9D"/>
    <w:rsid w:val="005100A7"/>
    <w:rsid w:val="00511AA5"/>
    <w:rsid w:val="00521307"/>
    <w:rsid w:val="00533DA0"/>
    <w:rsid w:val="00574B94"/>
    <w:rsid w:val="005903E4"/>
    <w:rsid w:val="005A2A25"/>
    <w:rsid w:val="005B04B1"/>
    <w:rsid w:val="005C5864"/>
    <w:rsid w:val="005D0321"/>
    <w:rsid w:val="005D1D9C"/>
    <w:rsid w:val="005D5F33"/>
    <w:rsid w:val="005E5BAA"/>
    <w:rsid w:val="006067A3"/>
    <w:rsid w:val="00615F41"/>
    <w:rsid w:val="00617DDE"/>
    <w:rsid w:val="00624141"/>
    <w:rsid w:val="00626B63"/>
    <w:rsid w:val="00626BE7"/>
    <w:rsid w:val="00631EA6"/>
    <w:rsid w:val="006321A9"/>
    <w:rsid w:val="00635840"/>
    <w:rsid w:val="00652AFE"/>
    <w:rsid w:val="00665695"/>
    <w:rsid w:val="006B5522"/>
    <w:rsid w:val="006D0524"/>
    <w:rsid w:val="006D7AAA"/>
    <w:rsid w:val="006F2698"/>
    <w:rsid w:val="006F7856"/>
    <w:rsid w:val="006F7D63"/>
    <w:rsid w:val="00700ABA"/>
    <w:rsid w:val="007266E9"/>
    <w:rsid w:val="00731E2D"/>
    <w:rsid w:val="00734230"/>
    <w:rsid w:val="00743B83"/>
    <w:rsid w:val="0076001A"/>
    <w:rsid w:val="00760125"/>
    <w:rsid w:val="00763BAF"/>
    <w:rsid w:val="0076613A"/>
    <w:rsid w:val="00773C6F"/>
    <w:rsid w:val="00780DCD"/>
    <w:rsid w:val="00790F7B"/>
    <w:rsid w:val="007936B5"/>
    <w:rsid w:val="00794A59"/>
    <w:rsid w:val="0079734B"/>
    <w:rsid w:val="007C73B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80209"/>
    <w:rsid w:val="008869BF"/>
    <w:rsid w:val="0089594A"/>
    <w:rsid w:val="008B3E0F"/>
    <w:rsid w:val="008B6024"/>
    <w:rsid w:val="008F66E9"/>
    <w:rsid w:val="00902DEF"/>
    <w:rsid w:val="00916DCE"/>
    <w:rsid w:val="00981D43"/>
    <w:rsid w:val="009879A0"/>
    <w:rsid w:val="009A410E"/>
    <w:rsid w:val="009C793D"/>
    <w:rsid w:val="009D144F"/>
    <w:rsid w:val="009D5DF1"/>
    <w:rsid w:val="009D619C"/>
    <w:rsid w:val="009D6398"/>
    <w:rsid w:val="009F7D12"/>
    <w:rsid w:val="00A01AEC"/>
    <w:rsid w:val="00A17B59"/>
    <w:rsid w:val="00A22235"/>
    <w:rsid w:val="00A27AA9"/>
    <w:rsid w:val="00A33282"/>
    <w:rsid w:val="00A36742"/>
    <w:rsid w:val="00A5744D"/>
    <w:rsid w:val="00A62E44"/>
    <w:rsid w:val="00A65ACB"/>
    <w:rsid w:val="00A812E0"/>
    <w:rsid w:val="00A85154"/>
    <w:rsid w:val="00A87B17"/>
    <w:rsid w:val="00A92481"/>
    <w:rsid w:val="00AA40D9"/>
    <w:rsid w:val="00AB114B"/>
    <w:rsid w:val="00AE5BF0"/>
    <w:rsid w:val="00AF1EF7"/>
    <w:rsid w:val="00B177AC"/>
    <w:rsid w:val="00B46EA7"/>
    <w:rsid w:val="00B4759F"/>
    <w:rsid w:val="00B61DD2"/>
    <w:rsid w:val="00B6391E"/>
    <w:rsid w:val="00B65BDE"/>
    <w:rsid w:val="00B93D1F"/>
    <w:rsid w:val="00BA1944"/>
    <w:rsid w:val="00BD6276"/>
    <w:rsid w:val="00C33775"/>
    <w:rsid w:val="00C35A15"/>
    <w:rsid w:val="00C61171"/>
    <w:rsid w:val="00C64451"/>
    <w:rsid w:val="00C7531A"/>
    <w:rsid w:val="00C77113"/>
    <w:rsid w:val="00C87DE8"/>
    <w:rsid w:val="00CA036B"/>
    <w:rsid w:val="00CB5875"/>
    <w:rsid w:val="00CB6438"/>
    <w:rsid w:val="00CE090F"/>
    <w:rsid w:val="00CE47CB"/>
    <w:rsid w:val="00CE5BE3"/>
    <w:rsid w:val="00CF00CC"/>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97D6D"/>
    <w:rsid w:val="00EC53D7"/>
    <w:rsid w:val="00ED3DB8"/>
    <w:rsid w:val="00ED5C61"/>
    <w:rsid w:val="00ED6355"/>
    <w:rsid w:val="00EF1F54"/>
    <w:rsid w:val="00EF6491"/>
    <w:rsid w:val="00F02844"/>
    <w:rsid w:val="00F45421"/>
    <w:rsid w:val="00F45597"/>
    <w:rsid w:val="00F52C18"/>
    <w:rsid w:val="00F62638"/>
    <w:rsid w:val="00F7490D"/>
    <w:rsid w:val="00F9074C"/>
    <w:rsid w:val="00F93CB8"/>
    <w:rsid w:val="00FA22F6"/>
    <w:rsid w:val="00FA2F54"/>
    <w:rsid w:val="00FA401D"/>
    <w:rsid w:val="00FA4613"/>
    <w:rsid w:val="00FB28FF"/>
    <w:rsid w:val="00FC208D"/>
    <w:rsid w:val="00FC755A"/>
    <w:rsid w:val="00FD1DD9"/>
    <w:rsid w:val="00FF52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5:docId w15:val="{F4F18828-FB95-4108-9F3E-D4B2766A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1825077026">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013C-0DF4-449A-BB04-97E8CCA0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2015-05-21T21:01:00Z</cp:lastPrinted>
  <dcterms:created xsi:type="dcterms:W3CDTF">2022-01-16T19:57:00Z</dcterms:created>
  <dcterms:modified xsi:type="dcterms:W3CDTF">2022-01-16T19:57:00Z</dcterms:modified>
</cp:coreProperties>
</file>